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2386C3" w14:textId="2903E4B0" w:rsidR="0018292D" w:rsidRPr="007C356E" w:rsidRDefault="0018292D" w:rsidP="00D05999">
      <w:pPr>
        <w:ind w:firstLine="0"/>
        <w:jc w:val="center"/>
        <w:rPr>
          <w:rFonts w:ascii="Arial" w:hAnsi="Arial" w:cs="Arial"/>
          <w:b/>
          <w:bCs w:val="0"/>
        </w:rPr>
      </w:pPr>
      <w:r w:rsidRPr="007C356E">
        <w:rPr>
          <w:rFonts w:ascii="Arial" w:hAnsi="Arial" w:cs="Arial"/>
          <w:b/>
          <w:bCs w:val="0"/>
        </w:rPr>
        <w:t>Determinación de los factores que inciden en la alfabetización financiera en mujeres en condición de vulnerabilidad, para Bucaramanga y su Área Metropolitana</w:t>
      </w:r>
    </w:p>
    <w:p w14:paraId="1568F474" w14:textId="77777777" w:rsidR="00D05999" w:rsidRPr="007C356E" w:rsidRDefault="00D05999" w:rsidP="00D05999">
      <w:pPr>
        <w:ind w:firstLine="0"/>
        <w:jc w:val="center"/>
        <w:rPr>
          <w:rFonts w:ascii="Arial" w:hAnsi="Arial" w:cs="Arial"/>
          <w:b/>
          <w:bCs w:val="0"/>
        </w:rPr>
      </w:pPr>
    </w:p>
    <w:p w14:paraId="332D4EBB" w14:textId="346A57B8" w:rsidR="0018292D" w:rsidRPr="007C356E" w:rsidRDefault="00D05999" w:rsidP="00D05999">
      <w:pPr>
        <w:ind w:firstLine="0"/>
        <w:jc w:val="right"/>
        <w:rPr>
          <w:rFonts w:ascii="Arial" w:hAnsi="Arial" w:cs="Arial"/>
        </w:rPr>
      </w:pPr>
      <w:r w:rsidRPr="007C356E">
        <w:rPr>
          <w:rFonts w:ascii="Arial" w:hAnsi="Arial" w:cs="Arial"/>
        </w:rPr>
        <w:t xml:space="preserve">* </w:t>
      </w:r>
      <w:r w:rsidR="0018292D" w:rsidRPr="007C356E">
        <w:rPr>
          <w:rFonts w:ascii="Arial" w:hAnsi="Arial" w:cs="Arial"/>
        </w:rPr>
        <w:t>Laury Daniela Villamizar Forero</w:t>
      </w:r>
    </w:p>
    <w:p w14:paraId="15AC2EE6" w14:textId="4FC9A616" w:rsidR="000A34BF" w:rsidRPr="007C356E" w:rsidRDefault="0018292D" w:rsidP="000A34BF">
      <w:pPr>
        <w:ind w:firstLine="0"/>
        <w:rPr>
          <w:rFonts w:ascii="Arial" w:hAnsi="Arial" w:cs="Arial"/>
          <w:b/>
          <w:bCs w:val="0"/>
        </w:rPr>
      </w:pPr>
      <w:r w:rsidRPr="007C356E">
        <w:rPr>
          <w:rFonts w:ascii="Arial" w:hAnsi="Arial" w:cs="Arial"/>
          <w:b/>
          <w:bCs w:val="0"/>
        </w:rPr>
        <w:t>Resumen</w:t>
      </w:r>
    </w:p>
    <w:p w14:paraId="0F348A6B" w14:textId="14FC3D4B" w:rsidR="0018292D" w:rsidRPr="007C356E" w:rsidRDefault="000A34BF" w:rsidP="000A34BF">
      <w:pPr>
        <w:rPr>
          <w:rFonts w:ascii="Arial" w:hAnsi="Arial" w:cs="Arial"/>
        </w:rPr>
      </w:pPr>
      <w:r w:rsidRPr="007C356E">
        <w:rPr>
          <w:rFonts w:ascii="Arial" w:hAnsi="Arial" w:cs="Arial"/>
        </w:rPr>
        <w:t xml:space="preserve">El rol de las mujeres en la sociedad, a lo largo de los años ha estado condicionado por diversos factores, uno de ellos corresponde al acceso a la educación, en donde la alfabetización financiera juega un papel significativo pues es quien determina en gran medida el bienestar financiero de las personas. Es así como el objetivo de la investigación consiste en </w:t>
      </w:r>
      <w:r w:rsidR="0018292D" w:rsidRPr="007C356E">
        <w:rPr>
          <w:rFonts w:ascii="Arial" w:hAnsi="Arial" w:cs="Arial"/>
        </w:rPr>
        <w:t xml:space="preserve">determinar </w:t>
      </w:r>
      <w:r w:rsidRPr="007C356E">
        <w:rPr>
          <w:rFonts w:ascii="Arial" w:hAnsi="Arial" w:cs="Arial"/>
        </w:rPr>
        <w:t>qué factores inciden en la alf</w:t>
      </w:r>
      <w:r w:rsidR="0018292D" w:rsidRPr="007C356E">
        <w:rPr>
          <w:rFonts w:ascii="Arial" w:hAnsi="Arial" w:cs="Arial"/>
        </w:rPr>
        <w:t>abetización financiera de las mujeres en condición de vulnerabilidad del área metropolitana de Bucaramanga. Adicionalmente, pretende establecer qué factores influyen sobre el conocimiento, comportamiento y actitud financiera y, qué tan lejos se encuentran dichas métricas respecto a las medidas en diferentes países pertenecientes a la organización para la cooperación y el desarrollo econó</w:t>
      </w:r>
      <w:r w:rsidR="00911D91">
        <w:rPr>
          <w:rFonts w:ascii="Arial" w:hAnsi="Arial" w:cs="Arial"/>
        </w:rPr>
        <w:t>mico</w:t>
      </w:r>
      <w:r w:rsidR="0018292D" w:rsidRPr="007C356E">
        <w:rPr>
          <w:rFonts w:ascii="Arial" w:hAnsi="Arial" w:cs="Arial"/>
        </w:rPr>
        <w:t>.</w:t>
      </w:r>
      <w:r w:rsidR="00D05999" w:rsidRPr="007C356E">
        <w:rPr>
          <w:rFonts w:ascii="Arial" w:hAnsi="Arial" w:cs="Arial"/>
        </w:rPr>
        <w:t xml:space="preserve"> </w:t>
      </w:r>
      <w:r w:rsidR="0018292D" w:rsidRPr="007C356E">
        <w:rPr>
          <w:rFonts w:ascii="Arial" w:hAnsi="Arial" w:cs="Arial"/>
        </w:rPr>
        <w:t xml:space="preserve">Por consiguiente, </w:t>
      </w:r>
      <w:r w:rsidR="00D05999" w:rsidRPr="007C356E">
        <w:rPr>
          <w:rFonts w:ascii="Arial" w:hAnsi="Arial" w:cs="Arial"/>
        </w:rPr>
        <w:t>se</w:t>
      </w:r>
      <w:r w:rsidR="0018292D" w:rsidRPr="007C356E">
        <w:rPr>
          <w:rFonts w:ascii="Arial" w:hAnsi="Arial" w:cs="Arial"/>
        </w:rPr>
        <w:t xml:space="preserve"> realiza una revisión de literatura, </w:t>
      </w:r>
      <w:r w:rsidR="00B75F3B" w:rsidRPr="007C356E">
        <w:rPr>
          <w:rFonts w:ascii="Arial" w:hAnsi="Arial" w:cs="Arial"/>
        </w:rPr>
        <w:t xml:space="preserve">se </w:t>
      </w:r>
      <w:r w:rsidR="0018292D" w:rsidRPr="007C356E">
        <w:rPr>
          <w:rFonts w:ascii="Arial" w:hAnsi="Arial" w:cs="Arial"/>
        </w:rPr>
        <w:t xml:space="preserve">desarrolla una herramienta de medición a través de la cual se recopilan y analizan los datos a través de un software estadístico que permite correlacionar las variables y los factores introducidos respecto a los objetivos planteados, para finalmente obtener cuales variables socioeconómicas, de conocomimiento, comportamiento y actitud, determinan el nivel de alfabetización financiera de la población objetivo. </w:t>
      </w:r>
    </w:p>
    <w:p w14:paraId="6A7159E5" w14:textId="14222558" w:rsidR="00D05999" w:rsidRPr="007C356E" w:rsidRDefault="0018292D" w:rsidP="00236D22">
      <w:pPr>
        <w:ind w:firstLine="0"/>
        <w:rPr>
          <w:rFonts w:ascii="Arial" w:hAnsi="Arial" w:cs="Arial"/>
        </w:rPr>
      </w:pPr>
      <w:r w:rsidRPr="007C356E">
        <w:rPr>
          <w:rFonts w:ascii="Arial" w:hAnsi="Arial" w:cs="Arial"/>
          <w:b/>
          <w:bCs w:val="0"/>
        </w:rPr>
        <w:t>Palabras clave:</w:t>
      </w:r>
      <w:r w:rsidRPr="007C356E">
        <w:rPr>
          <w:rFonts w:ascii="Arial" w:hAnsi="Arial" w:cs="Arial"/>
        </w:rPr>
        <w:t xml:space="preserve"> Alfabetización financiera, conocimiento financiero, comportamiento financiero, actitud financiera, brecha de género, poblaciones vulnerables.</w:t>
      </w:r>
    </w:p>
    <w:p w14:paraId="7CFF6380" w14:textId="6C993117" w:rsidR="00236D22" w:rsidRPr="007C356E" w:rsidRDefault="00236D22" w:rsidP="00D05999">
      <w:pPr>
        <w:rPr>
          <w:rFonts w:ascii="Arial" w:hAnsi="Arial" w:cs="Arial"/>
        </w:rPr>
      </w:pPr>
    </w:p>
    <w:p w14:paraId="09A44CC3" w14:textId="7BDCB308" w:rsidR="00236D22" w:rsidRPr="007C356E" w:rsidRDefault="00236D22" w:rsidP="00236D22">
      <w:pPr>
        <w:ind w:firstLine="0"/>
        <w:rPr>
          <w:rFonts w:ascii="Arial" w:hAnsi="Arial" w:cs="Arial"/>
        </w:rPr>
      </w:pPr>
      <w:r w:rsidRPr="007C356E">
        <w:rPr>
          <w:rFonts w:ascii="Arial" w:hAnsi="Arial" w:cs="Arial"/>
          <w:noProof/>
        </w:rPr>
        <mc:AlternateContent>
          <mc:Choice Requires="wps">
            <w:drawing>
              <wp:anchor distT="0" distB="0" distL="114300" distR="114300" simplePos="0" relativeHeight="251656192" behindDoc="0" locked="0" layoutInCell="1" allowOverlap="1" wp14:anchorId="66056886" wp14:editId="165F9602">
                <wp:simplePos x="0" y="0"/>
                <wp:positionH relativeFrom="column">
                  <wp:posOffset>0</wp:posOffset>
                </wp:positionH>
                <wp:positionV relativeFrom="paragraph">
                  <wp:posOffset>314325</wp:posOffset>
                </wp:positionV>
                <wp:extent cx="1457325" cy="0"/>
                <wp:effectExtent l="0" t="0" r="0" b="0"/>
                <wp:wrapNone/>
                <wp:docPr id="94" name="Conector recto 94"/>
                <wp:cNvGraphicFramePr/>
                <a:graphic xmlns:a="http://schemas.openxmlformats.org/drawingml/2006/main">
                  <a:graphicData uri="http://schemas.microsoft.com/office/word/2010/wordprocessingShape">
                    <wps:wsp>
                      <wps:cNvCnPr/>
                      <wps:spPr>
                        <a:xfrm flipV="1">
                          <a:off x="0" y="0"/>
                          <a:ext cx="14573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E52E8C7" id="Conector recto 94" o:spid="_x0000_s1026" style="position:absolute;flip: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24.75pt" to="114.75pt,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" strokecolor="black [3200]" strokeweight=".5pt">
                <v:stroke joinstyle="miter"/>
              </v:line>
            </w:pict>
          </mc:Fallback>
        </mc:AlternateContent>
      </w:r>
    </w:p>
    <w:p w14:paraId="19929D7B" w14:textId="68C5806D" w:rsidR="00D05999" w:rsidRPr="007C356E" w:rsidRDefault="00D05999" w:rsidP="00236D22">
      <w:pPr>
        <w:pStyle w:val="Textonotapie"/>
        <w:spacing w:line="276" w:lineRule="auto"/>
        <w:ind w:firstLine="0"/>
        <w:rPr>
          <w:rFonts w:ascii="Arial" w:eastAsiaTheme="minorHAnsi" w:hAnsi="Arial" w:cs="Arial"/>
          <w:noProof/>
          <w:sz w:val="24"/>
          <w:szCs w:val="24"/>
          <w:lang w:val="es-CO"/>
        </w:rPr>
      </w:pPr>
      <w:r w:rsidRPr="007C356E">
        <w:rPr>
          <w:rStyle w:val="Refdenotaalpie"/>
          <w:rFonts w:ascii="Arial" w:eastAsiaTheme="minorHAnsi" w:hAnsi="Arial" w:cs="Arial"/>
          <w:noProof/>
          <w:sz w:val="24"/>
          <w:szCs w:val="24"/>
          <w:lang w:val="es-CO"/>
        </w:rPr>
        <w:t xml:space="preserve">*Estudiante </w:t>
      </w:r>
      <w:r w:rsidRPr="007C356E">
        <w:rPr>
          <w:rStyle w:val="Refdenotaalpie"/>
          <w:rFonts w:ascii="Arial" w:hAnsi="Arial" w:cs="Arial"/>
          <w:sz w:val="24"/>
          <w:szCs w:val="24"/>
        </w:rPr>
        <w:t>de Ingeniería Industrial, Universidad Industrial de Santander</w:t>
      </w:r>
    </w:p>
    <w:p w14:paraId="5F493809" w14:textId="253C0541" w:rsidR="0018292D" w:rsidRPr="007C356E" w:rsidRDefault="00D05999" w:rsidP="00236D22">
      <w:pPr>
        <w:spacing w:line="276" w:lineRule="auto"/>
        <w:ind w:firstLine="0"/>
        <w:rPr>
          <w:rFonts w:ascii="Arial" w:hAnsi="Arial" w:cs="Arial"/>
        </w:rPr>
      </w:pPr>
      <w:r w:rsidRPr="007C356E">
        <w:rPr>
          <w:rStyle w:val="Refdenotaalpie"/>
          <w:rFonts w:ascii="Arial" w:hAnsi="Arial" w:cs="Arial"/>
          <w:noProof/>
        </w:rPr>
        <w:t>**Director: Jose Alonso Caballero Márquez, MSc. Ingeniería industrial. Codirectores: Mauricio José Martínez Pérez. MSc. Ingeniería industrial. Martha Liliana Torres Barreto. PhD. Ciencias económicas</w:t>
      </w:r>
    </w:p>
    <w:p w14:paraId="315B85F3" w14:textId="342ED57A" w:rsidR="0018292D" w:rsidRPr="007C356E" w:rsidRDefault="00236D22" w:rsidP="00236D22">
      <w:pPr>
        <w:jc w:val="center"/>
        <w:rPr>
          <w:rFonts w:ascii="Arial" w:hAnsi="Arial" w:cs="Arial"/>
          <w:b/>
          <w:bCs w:val="0"/>
          <w:lang w:val="en-US"/>
        </w:rPr>
      </w:pPr>
      <w:r w:rsidRPr="007C356E">
        <w:rPr>
          <w:rFonts w:ascii="Arial" w:hAnsi="Arial" w:cs="Arial"/>
          <w:b/>
          <w:bCs w:val="0"/>
          <w:lang w:val="en-US"/>
        </w:rPr>
        <w:lastRenderedPageBreak/>
        <w:t>Determination of the factors that affect financial literacy in women in vulnerable conditions, for Bucaramanga and its Metropolitan Area</w:t>
      </w:r>
    </w:p>
    <w:p w14:paraId="569D4E48" w14:textId="6BD0F3B3" w:rsidR="0018292D" w:rsidRPr="007C356E" w:rsidRDefault="0018292D">
      <w:pPr>
        <w:rPr>
          <w:rFonts w:ascii="Arial" w:hAnsi="Arial" w:cs="Arial"/>
          <w:lang w:val="en-US"/>
        </w:rPr>
      </w:pPr>
    </w:p>
    <w:p w14:paraId="75622898" w14:textId="712F1D3D" w:rsidR="0018292D" w:rsidRPr="007C356E" w:rsidRDefault="00236D22" w:rsidP="00236D22">
      <w:pPr>
        <w:ind w:firstLine="0"/>
        <w:rPr>
          <w:rFonts w:ascii="Arial" w:hAnsi="Arial" w:cs="Arial"/>
          <w:b/>
          <w:bCs w:val="0"/>
          <w:lang w:val="en-US"/>
        </w:rPr>
      </w:pPr>
      <w:r w:rsidRPr="007C356E">
        <w:rPr>
          <w:rFonts w:ascii="Arial" w:hAnsi="Arial" w:cs="Arial"/>
          <w:b/>
          <w:bCs w:val="0"/>
          <w:lang w:val="en-US"/>
        </w:rPr>
        <w:t>Abstract</w:t>
      </w:r>
    </w:p>
    <w:p w14:paraId="3DCD102D" w14:textId="00FADE76" w:rsidR="0018292D" w:rsidRPr="007C356E" w:rsidRDefault="00236D22">
      <w:pPr>
        <w:rPr>
          <w:rFonts w:ascii="Arial" w:hAnsi="Arial" w:cs="Arial"/>
          <w:lang w:val="en-US"/>
        </w:rPr>
      </w:pPr>
      <w:r w:rsidRPr="007C356E">
        <w:rPr>
          <w:rFonts w:ascii="Arial" w:hAnsi="Arial" w:cs="Arial"/>
          <w:lang w:val="en-US"/>
        </w:rPr>
        <w:t>The role of women in society, over the years, has been conditioned by various factors, one of which corresponds to access to education, where financial literacy plays a significant role, since it is what determines well-being to a great extent. people's finances. Thus, the objective of the research is to determine what factors affect the financial literacy of women in vulnerable conditions in the metropolitan area of ​​Bucaramanga. In addition, it seeks to establish what factors influence knowledge, behavior and financial attitude and how far these metrics are with respect to the measures in different countries belonging to the organization for cooperation and economic development. Therefore, a literature review is carried out, a measurement tool is developed through which data is collected and analyzed through statistical software that allows correlating the variables and factors introduced with respect to the objectives set, to Finally, to obtain which socioeconomic variables, of knowledge, behavior and attitude, determine the level of financial literacy of the target population.</w:t>
      </w:r>
    </w:p>
    <w:p w14:paraId="14FB303A" w14:textId="77777777" w:rsidR="00236D22" w:rsidRPr="007C356E" w:rsidRDefault="00236D22" w:rsidP="00236D22">
      <w:pPr>
        <w:ind w:firstLine="0"/>
        <w:mirrorIndents/>
        <w:rPr>
          <w:rFonts w:ascii="Arial" w:hAnsi="Arial" w:cs="Arial"/>
          <w:bCs w:val="0"/>
          <w:lang w:val="en-US"/>
        </w:rPr>
      </w:pPr>
      <w:r w:rsidRPr="007C356E">
        <w:rPr>
          <w:rFonts w:ascii="Arial" w:hAnsi="Arial" w:cs="Arial"/>
          <w:b/>
          <w:lang w:val="en-US"/>
        </w:rPr>
        <w:t xml:space="preserve">Key Words: </w:t>
      </w:r>
      <w:r w:rsidRPr="007C356E">
        <w:rPr>
          <w:rFonts w:ascii="Arial" w:hAnsi="Arial" w:cs="Arial"/>
          <w:lang w:val="en-US"/>
        </w:rPr>
        <w:t>Financial literacy, financial knowledge, financial behavior, financial attitude, gender gap, vulnerable populations.</w:t>
      </w:r>
    </w:p>
    <w:p w14:paraId="11B2845E" w14:textId="77777777" w:rsidR="000D752A" w:rsidRPr="00892BDC" w:rsidRDefault="000D752A" w:rsidP="007C356E">
      <w:pPr>
        <w:ind w:firstLine="0"/>
        <w:rPr>
          <w:rFonts w:ascii="Arial" w:hAnsi="Arial" w:cs="Arial"/>
          <w:lang w:val="en-US"/>
        </w:rPr>
      </w:pPr>
    </w:p>
    <w:p w14:paraId="41FBFCD6" w14:textId="1796DD3F" w:rsidR="007C356E" w:rsidRPr="00892BDC" w:rsidRDefault="007C356E" w:rsidP="007C356E">
      <w:pPr>
        <w:ind w:firstLine="0"/>
        <w:rPr>
          <w:rFonts w:ascii="Arial" w:hAnsi="Arial" w:cs="Arial"/>
          <w:lang w:val="en-US"/>
        </w:rPr>
        <w:sectPr w:rsidR="007C356E" w:rsidRPr="00892BDC">
          <w:pgSz w:w="12240" w:h="15840"/>
          <w:pgMar w:top="1440" w:right="1440" w:bottom="1440" w:left="1440" w:header="708" w:footer="708" w:gutter="0"/>
          <w:cols w:space="708"/>
          <w:docGrid w:linePitch="360"/>
        </w:sectPr>
      </w:pPr>
    </w:p>
    <w:p w14:paraId="33AC9941" w14:textId="633D2046" w:rsidR="00236D22" w:rsidRPr="007C356E" w:rsidRDefault="00236D22" w:rsidP="007C356E">
      <w:pPr>
        <w:pStyle w:val="Ttulo1"/>
        <w:ind w:firstLine="0"/>
        <w:rPr>
          <w:rFonts w:ascii="Arial" w:hAnsi="Arial" w:cs="Arial"/>
          <w:b/>
          <w:bCs/>
          <w:color w:val="auto"/>
          <w:sz w:val="24"/>
          <w:szCs w:val="24"/>
        </w:rPr>
      </w:pPr>
      <w:r w:rsidRPr="007C356E">
        <w:rPr>
          <w:rFonts w:ascii="Arial" w:hAnsi="Arial" w:cs="Arial"/>
          <w:b/>
          <w:bCs/>
          <w:color w:val="auto"/>
          <w:sz w:val="24"/>
          <w:szCs w:val="24"/>
        </w:rPr>
        <w:t>Introducción</w:t>
      </w:r>
    </w:p>
    <w:p w14:paraId="55066635" w14:textId="77777777" w:rsidR="00236D22" w:rsidRPr="007C356E" w:rsidRDefault="00236D22" w:rsidP="00236D22">
      <w:pPr>
        <w:rPr>
          <w:rFonts w:ascii="Arial" w:hAnsi="Arial" w:cs="Arial"/>
        </w:rPr>
      </w:pPr>
      <w:r w:rsidRPr="007C356E">
        <w:rPr>
          <w:rFonts w:ascii="Arial" w:hAnsi="Arial" w:cs="Arial"/>
        </w:rPr>
        <w:t xml:space="preserve">La crisis financiera global de 2008 desatada por el estallido de la burbuja inmobiliaria de Estados Unidos, demostró que las decisiones financieras mal informadas, frecuentemente causadas por la falta de educación financiera, pueden generar consecuencias altamente negativas </w:t>
      </w:r>
      <w:sdt>
        <w:sdtPr>
          <w:rPr>
            <w:rFonts w:ascii="Arial" w:hAnsi="Arial" w:cs="Arial"/>
            <w:color w:val="000000"/>
          </w:rPr>
          <w:tag w:val="MENDELEY_CITATION_v3_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"/>
          <w:id w:val="1834411192"/>
          <w:placeholder>
            <w:docPart w:val="D199D3BC267A4B5E9D53CEFBC12672B2"/>
          </w:placeholder>
        </w:sdtPr>
        <w:sdtContent>
          <w:r w:rsidRPr="007C356E">
            <w:rPr>
              <w:rFonts w:ascii="Arial" w:hAnsi="Arial" w:cs="Arial"/>
              <w:color w:val="000000"/>
            </w:rPr>
            <w:t>(OECD, 2009)</w:t>
          </w:r>
        </w:sdtContent>
      </w:sdt>
      <w:r w:rsidRPr="007C356E">
        <w:rPr>
          <w:rFonts w:ascii="Arial" w:hAnsi="Arial" w:cs="Arial"/>
        </w:rPr>
        <w:t xml:space="preserve">. Dicha falta de educación no solo está generalizada, además es particularmente grave entre las mujeres </w:t>
      </w:r>
      <w:sdt>
        <w:sdtPr>
          <w:rPr>
            <w:rFonts w:ascii="Arial" w:hAnsi="Arial" w:cs="Arial"/>
          </w:rPr>
          <w:tag w:val="MENDELEY_CITATION_v3_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"/>
          <w:id w:val="1685935978"/>
          <w:placeholder>
            <w:docPart w:val="D199D3BC267A4B5E9D53CEFBC12672B2"/>
          </w:placeholder>
        </w:sdtPr>
        <w:sdtContent>
          <w:r w:rsidRPr="007C356E">
            <w:rPr>
              <w:rFonts w:ascii="Arial" w:eastAsia="Times New Roman" w:hAnsi="Arial" w:cs="Arial"/>
            </w:rPr>
            <w:t>(</w:t>
          </w:r>
          <w:proofErr w:type="spellStart"/>
          <w:r w:rsidRPr="007C356E">
            <w:rPr>
              <w:rFonts w:ascii="Arial" w:eastAsia="Times New Roman" w:hAnsi="Arial" w:cs="Arial"/>
            </w:rPr>
            <w:t>Klapper</w:t>
          </w:r>
          <w:proofErr w:type="spellEnd"/>
          <w:r w:rsidRPr="007C356E">
            <w:rPr>
              <w:rFonts w:ascii="Arial" w:eastAsia="Times New Roman" w:hAnsi="Arial" w:cs="Arial"/>
            </w:rPr>
            <w:t xml:space="preserve"> &amp; Lusardi, 2020)</w:t>
          </w:r>
        </w:sdtContent>
      </w:sdt>
      <w:r w:rsidRPr="007C356E">
        <w:rPr>
          <w:rFonts w:ascii="Arial" w:hAnsi="Arial" w:cs="Arial"/>
        </w:rPr>
        <w:t xml:space="preserve">. Los más recientes estudios sobre alfabetización financiera en más de 140 países, muestran que las brechas de género están presentes en todas partes, desde las economías en desarrollo, hasta las </w:t>
      </w:r>
      <w:r w:rsidRPr="007C356E">
        <w:rPr>
          <w:rFonts w:ascii="Arial" w:hAnsi="Arial" w:cs="Arial"/>
        </w:rPr>
        <w:lastRenderedPageBreak/>
        <w:t xml:space="preserve">avanzadas </w:t>
      </w:r>
      <w:sdt>
        <w:sdtPr>
          <w:rPr>
            <w:rFonts w:ascii="Arial" w:hAnsi="Arial" w:cs="Arial"/>
          </w:rPr>
          <w:tag w:val="MENDELEY_CITATION_v3_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"/>
          <w:id w:val="-425114190"/>
          <w:placeholder>
            <w:docPart w:val="D199D3BC267A4B5E9D53CEFBC12672B2"/>
          </w:placeholder>
        </w:sdtPr>
        <w:sdtContent>
          <w:r w:rsidRPr="007C356E">
            <w:rPr>
              <w:rFonts w:ascii="Arial" w:eastAsia="Times New Roman" w:hAnsi="Arial" w:cs="Arial"/>
            </w:rPr>
            <w:t>(</w:t>
          </w:r>
          <w:proofErr w:type="spellStart"/>
          <w:r w:rsidRPr="007C356E">
            <w:rPr>
              <w:rFonts w:ascii="Arial" w:eastAsia="Times New Roman" w:hAnsi="Arial" w:cs="Arial"/>
            </w:rPr>
            <w:t>Klapper</w:t>
          </w:r>
          <w:proofErr w:type="spellEnd"/>
          <w:r w:rsidRPr="007C356E">
            <w:rPr>
              <w:rFonts w:ascii="Arial" w:eastAsia="Times New Roman" w:hAnsi="Arial" w:cs="Arial"/>
            </w:rPr>
            <w:t xml:space="preserve"> &amp; Lusardi, 2020)</w:t>
          </w:r>
        </w:sdtContent>
      </w:sdt>
      <w:r w:rsidRPr="007C356E">
        <w:rPr>
          <w:rFonts w:ascii="Arial" w:hAnsi="Arial" w:cs="Arial"/>
        </w:rPr>
        <w:t xml:space="preserve">. Por tal motivo, en la mayoría de gobiernos alrededor del mundo, han empezado a reconocerse los beneficios que representan para las personas y para sus economías el contar con una población alfabetizada financieramente (Global </w:t>
      </w:r>
      <w:proofErr w:type="spellStart"/>
      <w:r w:rsidRPr="007C356E">
        <w:rPr>
          <w:rFonts w:ascii="Arial" w:hAnsi="Arial" w:cs="Arial"/>
        </w:rPr>
        <w:t>Partnership</w:t>
      </w:r>
      <w:proofErr w:type="spellEnd"/>
      <w:r w:rsidRPr="007C356E">
        <w:rPr>
          <w:rFonts w:ascii="Arial" w:hAnsi="Arial" w:cs="Arial"/>
        </w:rPr>
        <w:t xml:space="preserve"> </w:t>
      </w:r>
      <w:proofErr w:type="spellStart"/>
      <w:r w:rsidRPr="007C356E">
        <w:rPr>
          <w:rFonts w:ascii="Arial" w:hAnsi="Arial" w:cs="Arial"/>
        </w:rPr>
        <w:t>for</w:t>
      </w:r>
      <w:proofErr w:type="spellEnd"/>
      <w:r w:rsidRPr="007C356E">
        <w:rPr>
          <w:rFonts w:ascii="Arial" w:hAnsi="Arial" w:cs="Arial"/>
        </w:rPr>
        <w:t xml:space="preserve"> </w:t>
      </w:r>
      <w:proofErr w:type="spellStart"/>
      <w:r w:rsidRPr="007C356E">
        <w:rPr>
          <w:rFonts w:ascii="Arial" w:hAnsi="Arial" w:cs="Arial"/>
        </w:rPr>
        <w:t>Financial</w:t>
      </w:r>
      <w:proofErr w:type="spellEnd"/>
      <w:r w:rsidRPr="007C356E">
        <w:rPr>
          <w:rFonts w:ascii="Arial" w:hAnsi="Arial" w:cs="Arial"/>
        </w:rPr>
        <w:t xml:space="preserve"> </w:t>
      </w:r>
      <w:proofErr w:type="spellStart"/>
      <w:r w:rsidRPr="007C356E">
        <w:rPr>
          <w:rFonts w:ascii="Arial" w:hAnsi="Arial" w:cs="Arial"/>
        </w:rPr>
        <w:t>Inclusion</w:t>
      </w:r>
      <w:proofErr w:type="spellEnd"/>
      <w:r w:rsidRPr="007C356E">
        <w:rPr>
          <w:rFonts w:ascii="Arial" w:hAnsi="Arial" w:cs="Arial"/>
        </w:rPr>
        <w:t>, 2010).</w:t>
      </w:r>
    </w:p>
    <w:p w14:paraId="718BE827" w14:textId="77777777" w:rsidR="00236D22" w:rsidRPr="007C356E" w:rsidRDefault="00236D22" w:rsidP="00236D22">
      <w:pPr>
        <w:rPr>
          <w:rFonts w:ascii="Arial" w:hAnsi="Arial" w:cs="Arial"/>
        </w:rPr>
      </w:pPr>
      <w:r w:rsidRPr="007C356E">
        <w:rPr>
          <w:rFonts w:ascii="Arial" w:hAnsi="Arial" w:cs="Arial"/>
        </w:rPr>
        <w:t xml:space="preserve"> La alfabetización financiera, se asocia con un sin número de resultados financieros positivos, también, es un predictor confiable de la riqueza individual, los ahorros, la participación en el mercado de valores, la planificación de la jubilación, etcétera </w:t>
      </w:r>
      <w:sdt>
        <w:sdtPr>
          <w:rPr>
            <w:rFonts w:ascii="Arial" w:hAnsi="Arial" w:cs="Arial"/>
          </w:rPr>
          <w:tag w:val="MENDELEY_CITATION_v3_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"/>
          <w:id w:val="-459723679"/>
          <w:placeholder>
            <w:docPart w:val="D199D3BC267A4B5E9D53CEFBC12672B2"/>
          </w:placeholder>
        </w:sdtPr>
        <w:sdtContent>
          <w:r w:rsidRPr="007C356E">
            <w:rPr>
              <w:rFonts w:ascii="Arial" w:eastAsia="Times New Roman" w:hAnsi="Arial" w:cs="Arial"/>
            </w:rPr>
            <w:t xml:space="preserve">(Lusardi &amp; Mitchell, 2008; van </w:t>
          </w:r>
          <w:proofErr w:type="spellStart"/>
          <w:r w:rsidRPr="007C356E">
            <w:rPr>
              <w:rFonts w:ascii="Arial" w:eastAsia="Times New Roman" w:hAnsi="Arial" w:cs="Arial"/>
            </w:rPr>
            <w:t>Rooij</w:t>
          </w:r>
          <w:proofErr w:type="spellEnd"/>
          <w:r w:rsidRPr="007C356E">
            <w:rPr>
              <w:rFonts w:ascii="Arial" w:eastAsia="Times New Roman" w:hAnsi="Arial" w:cs="Arial"/>
            </w:rPr>
            <w:t xml:space="preserve"> et al., 2011)</w:t>
          </w:r>
        </w:sdtContent>
      </w:sdt>
      <w:r w:rsidRPr="007C356E">
        <w:rPr>
          <w:rFonts w:ascii="Arial" w:hAnsi="Arial" w:cs="Arial"/>
        </w:rPr>
        <w:t>. Adicionalmente, el aumento de la educación financiera promueve una mayor autoconfianza, control e independencia en los individuos (</w:t>
      </w:r>
      <w:proofErr w:type="spellStart"/>
      <w:r w:rsidRPr="007C356E">
        <w:rPr>
          <w:rFonts w:ascii="Arial" w:hAnsi="Arial" w:cs="Arial"/>
        </w:rPr>
        <w:t>Conger</w:t>
      </w:r>
      <w:proofErr w:type="spellEnd"/>
      <w:r w:rsidRPr="007C356E">
        <w:rPr>
          <w:rFonts w:ascii="Arial" w:hAnsi="Arial" w:cs="Arial"/>
        </w:rPr>
        <w:t xml:space="preserve"> et al., 1999; Allen et al., 2007) y, sumado a un marco sólido de protección al consumidor, son vitales para el empoderamiento de las personas, que, a su vez, es fundamental para impulsar el crecimiento económico y promover el desarrollo social (Organización de las Naciones Unidas, 2016).</w:t>
      </w:r>
    </w:p>
    <w:p w14:paraId="1F560566" w14:textId="77777777" w:rsidR="00236D22" w:rsidRPr="007C356E" w:rsidRDefault="00236D22" w:rsidP="00236D22">
      <w:pPr>
        <w:rPr>
          <w:rFonts w:ascii="Arial" w:hAnsi="Arial" w:cs="Arial"/>
        </w:rPr>
      </w:pPr>
      <w:r w:rsidRPr="007C356E">
        <w:rPr>
          <w:rFonts w:ascii="Arial" w:hAnsi="Arial" w:cs="Arial"/>
        </w:rPr>
        <w:t>Es así, como con el transcurso del tiempo se ha evidenciado un creciente interés por dar explicaciones a la bien conocida brecha de género, estudiando algunos factores que la influyen directa o indirectamente, tales como la influencia de los estereotipos (</w:t>
      </w:r>
      <w:sdt>
        <w:sdtPr>
          <w:rPr>
            <w:rFonts w:ascii="Arial" w:hAnsi="Arial" w:cs="Arial"/>
          </w:rPr>
          <w:tag w:val="MENDELEY_CITATION_v3_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"/>
          <w:id w:val="-797526879"/>
          <w:placeholder>
            <w:docPart w:val="D199D3BC267A4B5E9D53CEFBC12672B2"/>
          </w:placeholder>
        </w:sdtPr>
        <w:sdtContent>
          <w:r w:rsidRPr="007C356E">
            <w:rPr>
              <w:rFonts w:ascii="Arial" w:eastAsia="Times New Roman" w:hAnsi="Arial" w:cs="Arial"/>
            </w:rPr>
            <w:t>(</w:t>
          </w:r>
          <w:proofErr w:type="spellStart"/>
          <w:r w:rsidRPr="007C356E">
            <w:rPr>
              <w:rFonts w:ascii="Arial" w:eastAsia="Times New Roman" w:hAnsi="Arial" w:cs="Arial"/>
            </w:rPr>
            <w:t>Bottazzi</w:t>
          </w:r>
          <w:proofErr w:type="spellEnd"/>
          <w:r w:rsidRPr="007C356E">
            <w:rPr>
              <w:rFonts w:ascii="Arial" w:eastAsia="Times New Roman" w:hAnsi="Arial" w:cs="Arial"/>
            </w:rPr>
            <w:t xml:space="preserve"> &amp; Lusardi, 2021; </w:t>
          </w:r>
          <w:proofErr w:type="spellStart"/>
          <w:r w:rsidRPr="007C356E">
            <w:rPr>
              <w:rFonts w:ascii="Arial" w:eastAsia="Times New Roman" w:hAnsi="Arial" w:cs="Arial"/>
            </w:rPr>
            <w:t>Tinghög</w:t>
          </w:r>
          <w:proofErr w:type="spellEnd"/>
          <w:r w:rsidRPr="007C356E">
            <w:rPr>
              <w:rFonts w:ascii="Arial" w:eastAsia="Times New Roman" w:hAnsi="Arial" w:cs="Arial"/>
            </w:rPr>
            <w:t xml:space="preserve"> et al., 2021)</w:t>
          </w:r>
        </w:sdtContent>
      </w:sdt>
      <w:r w:rsidRPr="007C356E">
        <w:rPr>
          <w:rFonts w:ascii="Arial" w:hAnsi="Arial" w:cs="Arial"/>
        </w:rPr>
        <w:t xml:space="preserve">, las características psicológicas </w:t>
      </w:r>
      <w:sdt>
        <w:sdtPr>
          <w:rPr>
            <w:rFonts w:ascii="Arial" w:hAnsi="Arial" w:cs="Arial"/>
          </w:rPr>
          <w:tag w:val="MENDELEY_CITATION_v3_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"/>
          <w:id w:val="-1262209322"/>
          <w:placeholder>
            <w:docPart w:val="D199D3BC267A4B5E9D53CEFBC12672B2"/>
          </w:placeholder>
        </w:sdtPr>
        <w:sdtContent>
          <w:r w:rsidRPr="007C356E">
            <w:rPr>
              <w:rFonts w:ascii="Arial" w:eastAsia="Times New Roman" w:hAnsi="Arial" w:cs="Arial"/>
            </w:rPr>
            <w:t xml:space="preserve">(Robson &amp; </w:t>
          </w:r>
          <w:proofErr w:type="spellStart"/>
          <w:r w:rsidRPr="007C356E">
            <w:rPr>
              <w:rFonts w:ascii="Arial" w:eastAsia="Times New Roman" w:hAnsi="Arial" w:cs="Arial"/>
            </w:rPr>
            <w:t>Peetz</w:t>
          </w:r>
          <w:proofErr w:type="spellEnd"/>
          <w:r w:rsidRPr="007C356E">
            <w:rPr>
              <w:rFonts w:ascii="Arial" w:eastAsia="Times New Roman" w:hAnsi="Arial" w:cs="Arial"/>
            </w:rPr>
            <w:t>, 2020)</w:t>
          </w:r>
        </w:sdtContent>
      </w:sdt>
      <w:r w:rsidRPr="007C356E">
        <w:rPr>
          <w:rFonts w:ascii="Arial" w:hAnsi="Arial" w:cs="Arial"/>
        </w:rPr>
        <w:t xml:space="preserve">, el rol de la familia </w:t>
      </w:r>
      <w:sdt>
        <w:sdtPr>
          <w:rPr>
            <w:rFonts w:ascii="Arial" w:hAnsi="Arial" w:cs="Arial"/>
          </w:rPr>
          <w:tag w:val="MENDELEY_CITATION_v3_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"/>
          <w:id w:val="-960487029"/>
          <w:placeholder>
            <w:docPart w:val="D199D3BC267A4B5E9D53CEFBC12672B2"/>
          </w:placeholder>
        </w:sdtPr>
        <w:sdtContent>
          <w:r w:rsidRPr="007C356E">
            <w:rPr>
              <w:rFonts w:ascii="Arial" w:eastAsia="Times New Roman" w:hAnsi="Arial" w:cs="Arial"/>
            </w:rPr>
            <w:t>(</w:t>
          </w:r>
          <w:proofErr w:type="spellStart"/>
          <w:r w:rsidRPr="007C356E">
            <w:rPr>
              <w:rFonts w:ascii="Arial" w:eastAsia="Times New Roman" w:hAnsi="Arial" w:cs="Arial"/>
            </w:rPr>
            <w:t>Banerjee</w:t>
          </w:r>
          <w:proofErr w:type="spellEnd"/>
          <w:r w:rsidRPr="007C356E">
            <w:rPr>
              <w:rFonts w:ascii="Arial" w:eastAsia="Times New Roman" w:hAnsi="Arial" w:cs="Arial"/>
            </w:rPr>
            <w:t xml:space="preserve"> &amp; Roy, 2020)</w:t>
          </w:r>
        </w:sdtContent>
      </w:sdt>
      <w:r w:rsidRPr="007C356E">
        <w:rPr>
          <w:rFonts w:ascii="Arial" w:hAnsi="Arial" w:cs="Arial"/>
        </w:rPr>
        <w:t xml:space="preserve">, entre otros que se mencionarán a lo largo del documento. </w:t>
      </w:r>
    </w:p>
    <w:p w14:paraId="4219DCD1" w14:textId="77777777" w:rsidR="00236D22" w:rsidRPr="007C356E" w:rsidRDefault="00236D22" w:rsidP="00236D22">
      <w:pPr>
        <w:rPr>
          <w:rFonts w:ascii="Arial" w:hAnsi="Arial" w:cs="Arial"/>
        </w:rPr>
      </w:pPr>
      <w:r w:rsidRPr="007C356E">
        <w:rPr>
          <w:rFonts w:ascii="Arial" w:hAnsi="Arial" w:cs="Arial"/>
        </w:rPr>
        <w:t xml:space="preserve">De esta manera, la presente investigación tiene como objetivo medir el nivel de alfabetización financiera y determinar los factores más influyentes sobre esta medida para las mujeres en condición de vulnerabilidad del Área Metropolitana de Bucaramanga (AMB). Para tal fin, se realizó un análisis bibliométrico de una serie de documentos filtrados a través de una ecuación de búsqueda, se realizó un análisis preliminar de la literatura existente sobre la alfabetización financiera y la brecha de género. Posteriormente se construyó una herramienta de recolección de datos, cuyos resultados fueron sometidos a un software estadístico que permitió la </w:t>
      </w:r>
      <w:r w:rsidRPr="007C356E">
        <w:rPr>
          <w:rFonts w:ascii="Arial" w:hAnsi="Arial" w:cs="Arial"/>
        </w:rPr>
        <w:lastRenderedPageBreak/>
        <w:t>exploración del conocimiento, actitud y comportamiento financiero de las mujeres pertenecientes a la población objetivo. Finalmente se elaboró un artículo de carácter publicable con los aportes más significativos del trabajo.</w:t>
      </w:r>
    </w:p>
    <w:p w14:paraId="753911B1" w14:textId="77777777" w:rsidR="00236D22" w:rsidRPr="007C356E" w:rsidRDefault="00236D22" w:rsidP="00236D22">
      <w:pPr>
        <w:rPr>
          <w:rFonts w:ascii="Arial" w:hAnsi="Arial" w:cs="Arial"/>
        </w:rPr>
      </w:pPr>
      <w:r w:rsidRPr="007C356E">
        <w:rPr>
          <w:rFonts w:ascii="Arial" w:hAnsi="Arial" w:cs="Arial"/>
        </w:rPr>
        <w:t xml:space="preserve"> Este proyecto de investigación ayuda a responder preguntas tales como: ¿Qué factores inciden en el nivel de alfabetización financiera de las mujeres?, ¿Cuáles son las principales falencias de las mujeres en el comportamiento, la actitud y el conocimiento financiero? y, ¿Qué tan lejos se encuentra el puntaje de alfabetización financiera de las mujeres en el AMB respecto a los diferentes países del mundo?, aportando una base para las futuras investigaciones encaminadas en la reducción de la brecha de género, el bienestar y la inclusión financiera de las mujeres.</w:t>
      </w:r>
    </w:p>
    <w:p w14:paraId="3B0C146B" w14:textId="7D9E0801" w:rsidR="00236D22" w:rsidRPr="007C356E" w:rsidRDefault="00236D22" w:rsidP="00236D22">
      <w:pPr>
        <w:ind w:firstLine="0"/>
        <w:rPr>
          <w:rFonts w:ascii="Arial" w:hAnsi="Arial" w:cs="Arial"/>
        </w:rPr>
      </w:pPr>
    </w:p>
    <w:p w14:paraId="32A615FC" w14:textId="7B13C7D9" w:rsidR="008F788F" w:rsidRPr="007C356E" w:rsidRDefault="008F788F" w:rsidP="007C356E">
      <w:pPr>
        <w:pStyle w:val="Ttulo1"/>
        <w:numPr>
          <w:ilvl w:val="0"/>
          <w:numId w:val="5"/>
        </w:numPr>
        <w:rPr>
          <w:rFonts w:ascii="Arial" w:hAnsi="Arial" w:cs="Arial"/>
          <w:b/>
          <w:bCs/>
          <w:color w:val="auto"/>
          <w:sz w:val="24"/>
          <w:szCs w:val="24"/>
        </w:rPr>
      </w:pPr>
      <w:r w:rsidRPr="007C356E">
        <w:rPr>
          <w:rFonts w:ascii="Arial" w:hAnsi="Arial" w:cs="Arial"/>
          <w:b/>
          <w:bCs/>
          <w:color w:val="auto"/>
          <w:sz w:val="24"/>
          <w:szCs w:val="24"/>
        </w:rPr>
        <w:t>Análisis de la literatura</w:t>
      </w:r>
    </w:p>
    <w:p w14:paraId="7F5FA449" w14:textId="77777777" w:rsidR="008F788F" w:rsidRPr="007C356E" w:rsidRDefault="008F788F" w:rsidP="008F788F">
      <w:pPr>
        <w:rPr>
          <w:rFonts w:ascii="Arial" w:hAnsi="Arial" w:cs="Arial"/>
        </w:rPr>
      </w:pPr>
      <w:r w:rsidRPr="007C356E">
        <w:rPr>
          <w:rFonts w:ascii="Arial" w:hAnsi="Arial" w:cs="Arial"/>
        </w:rPr>
        <w:t xml:space="preserve">Durante los últimos años, se ha evidenciado un crecimiento sostenido en las economías de América Latina, trayendo consigo la necesidad de que los individuos conozcan el correcto funcionamiento de los mercados </w:t>
      </w:r>
      <w:r w:rsidRPr="007C356E">
        <w:rPr>
          <w:rFonts w:ascii="Arial" w:hAnsi="Arial" w:cs="Arial"/>
        </w:rPr>
        <w:t xml:space="preserve">financieros y adquieran las capacidades para manejar sus finanzas personales, haciendo uso de las herramientas que dichos mercados financieros puedan brindarles, puesto que el manejo adecuado de los productos y servicios financieros, representa un motor de crecimiento económico en ámbitos como el progreso social y el desarrollo sostenible </w:t>
      </w:r>
      <w:sdt>
        <w:sdtPr>
          <w:rPr>
            <w:rFonts w:ascii="Arial" w:hAnsi="Arial" w:cs="Arial"/>
            <w:color w:val="000000"/>
          </w:rPr>
          <w:tag w:val="MENDELEY_CITATION_v3_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"/>
          <w:id w:val="1970481551"/>
          <w:placeholder>
            <w:docPart w:val="22B15874594B4148A6FF4EFB836275C7"/>
          </w:placeholder>
        </w:sdtPr>
        <w:sdtContent>
          <w:r w:rsidRPr="007C356E">
            <w:rPr>
              <w:rFonts w:ascii="Arial" w:hAnsi="Arial" w:cs="Arial"/>
              <w:color w:val="000000"/>
            </w:rPr>
            <w:t xml:space="preserve">(García, </w:t>
          </w:r>
          <w:proofErr w:type="spellStart"/>
          <w:r w:rsidRPr="007C356E">
            <w:rPr>
              <w:rFonts w:ascii="Arial" w:hAnsi="Arial" w:cs="Arial"/>
              <w:color w:val="000000"/>
            </w:rPr>
            <w:t>Grifoni</w:t>
          </w:r>
          <w:proofErr w:type="spellEnd"/>
          <w:r w:rsidRPr="007C356E">
            <w:rPr>
              <w:rFonts w:ascii="Arial" w:hAnsi="Arial" w:cs="Arial"/>
              <w:color w:val="000000"/>
            </w:rPr>
            <w:t>, et al., 2013)</w:t>
          </w:r>
        </w:sdtContent>
      </w:sdt>
      <w:r w:rsidRPr="007C356E">
        <w:rPr>
          <w:rFonts w:ascii="Arial" w:hAnsi="Arial" w:cs="Arial"/>
          <w:color w:val="000000"/>
        </w:rPr>
        <w:t xml:space="preserve">. </w:t>
      </w:r>
      <w:r w:rsidRPr="007C356E">
        <w:rPr>
          <w:rFonts w:ascii="Arial" w:hAnsi="Arial" w:cs="Arial"/>
        </w:rPr>
        <w:t xml:space="preserve"> </w:t>
      </w:r>
    </w:p>
    <w:p w14:paraId="132E7404" w14:textId="5E0DD301" w:rsidR="008F788F" w:rsidRPr="007C356E" w:rsidRDefault="008F788F" w:rsidP="008F788F">
      <w:pPr>
        <w:rPr>
          <w:rFonts w:ascii="Arial" w:hAnsi="Arial" w:cs="Arial"/>
        </w:rPr>
      </w:pPr>
      <w:r w:rsidRPr="007C356E">
        <w:rPr>
          <w:rFonts w:ascii="Arial" w:hAnsi="Arial" w:cs="Arial"/>
        </w:rPr>
        <w:t xml:space="preserve">Sin embargo, estos avances no han tenido grandes repercusiones en niveles de pobreza o desigualdad. Diferentes estudios han evidenciado la brecha de género existente en educación financiera a lo largo del tiempo </w:t>
      </w:r>
      <w:sdt>
        <w:sdtPr>
          <w:rPr>
            <w:rFonts w:ascii="Arial" w:hAnsi="Arial" w:cs="Arial"/>
            <w:color w:val="000000"/>
          </w:rPr>
          <w:tag w:val="MENDELEY_CITATION_v3_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"/>
          <w:id w:val="524446335"/>
          <w:placeholder>
            <w:docPart w:val="E81A5A4C319840C99131A389C074A705"/>
          </w:placeholder>
        </w:sdtPr>
        <w:sdtContent>
          <w:r w:rsidRPr="007C356E">
            <w:rPr>
              <w:rFonts w:ascii="Arial" w:hAnsi="Arial" w:cs="Arial"/>
              <w:color w:val="000000"/>
            </w:rPr>
            <w:t>(Al-</w:t>
          </w:r>
          <w:proofErr w:type="spellStart"/>
          <w:r w:rsidRPr="007C356E">
            <w:rPr>
              <w:rFonts w:ascii="Arial" w:hAnsi="Arial" w:cs="Arial"/>
              <w:color w:val="000000"/>
            </w:rPr>
            <w:t>Bahrani</w:t>
          </w:r>
          <w:proofErr w:type="spellEnd"/>
          <w:r w:rsidRPr="007C356E">
            <w:rPr>
              <w:rFonts w:ascii="Arial" w:hAnsi="Arial" w:cs="Arial"/>
              <w:color w:val="000000"/>
            </w:rPr>
            <w:t xml:space="preserve"> et al., 2020)</w:t>
          </w:r>
        </w:sdtContent>
      </w:sdt>
      <w:r w:rsidRPr="007C356E">
        <w:rPr>
          <w:rFonts w:ascii="Arial" w:hAnsi="Arial" w:cs="Arial"/>
        </w:rPr>
        <w:t xml:space="preserve">. De manera generalizada, se asumía que dicha brecha estaba presente en la población adulta, razón por la cual es el rango etario donde se encuentran el mayor número de estudios, representando sobre el total de artículos analizados el 59,3%. Sin embargo, hallazgos más recientes indican que la brecha de género ya se encontraba en universitarios </w:t>
      </w:r>
      <w:sdt>
        <w:sdtPr>
          <w:rPr>
            <w:rFonts w:ascii="Arial" w:hAnsi="Arial" w:cs="Arial"/>
            <w:color w:val="000000"/>
          </w:rPr>
          <w:tag w:val="MENDELEY_CITATION_v3_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"/>
          <w:id w:val="1511484435"/>
          <w:placeholder>
            <w:docPart w:val="E81A5A4C319840C99131A389C074A705"/>
          </w:placeholder>
        </w:sdtPr>
        <w:sdtContent>
          <w:r w:rsidRPr="007C356E">
            <w:rPr>
              <w:rFonts w:ascii="Arial" w:hAnsi="Arial" w:cs="Arial"/>
              <w:color w:val="000000"/>
            </w:rPr>
            <w:t>(Al-</w:t>
          </w:r>
          <w:proofErr w:type="spellStart"/>
          <w:r w:rsidRPr="007C356E">
            <w:rPr>
              <w:rFonts w:ascii="Arial" w:hAnsi="Arial" w:cs="Arial"/>
              <w:color w:val="000000"/>
            </w:rPr>
            <w:t>Bahrani</w:t>
          </w:r>
          <w:proofErr w:type="spellEnd"/>
          <w:r w:rsidRPr="007C356E">
            <w:rPr>
              <w:rFonts w:ascii="Arial" w:hAnsi="Arial" w:cs="Arial"/>
              <w:color w:val="000000"/>
            </w:rPr>
            <w:t xml:space="preserve"> et al., 2020)</w:t>
          </w:r>
        </w:sdtContent>
      </w:sdt>
      <w:r w:rsidRPr="007C356E">
        <w:rPr>
          <w:rFonts w:ascii="Arial" w:hAnsi="Arial" w:cs="Arial"/>
        </w:rPr>
        <w:t xml:space="preserve">, y que adicionalmente inicia desde edades más tempranas </w:t>
      </w:r>
      <w:sdt>
        <w:sdtPr>
          <w:rPr>
            <w:rFonts w:ascii="Arial" w:hAnsi="Arial" w:cs="Arial"/>
            <w:color w:val="000000"/>
          </w:rPr>
          <w:tag w:val="MENDELEY_CITATION_v3_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"/>
          <w:id w:val="1834791477"/>
          <w:placeholder>
            <w:docPart w:val="E81A5A4C319840C99131A389C074A705"/>
          </w:placeholder>
        </w:sdtPr>
        <w:sdtContent>
          <w:r w:rsidRPr="007C356E">
            <w:rPr>
              <w:rFonts w:ascii="Arial" w:hAnsi="Arial" w:cs="Arial"/>
              <w:color w:val="000000"/>
            </w:rPr>
            <w:t>(</w:t>
          </w:r>
          <w:proofErr w:type="spellStart"/>
          <w:r w:rsidRPr="007C356E">
            <w:rPr>
              <w:rFonts w:ascii="Arial" w:hAnsi="Arial" w:cs="Arial"/>
              <w:color w:val="000000"/>
            </w:rPr>
            <w:t>Driva</w:t>
          </w:r>
          <w:proofErr w:type="spellEnd"/>
          <w:r w:rsidRPr="007C356E">
            <w:rPr>
              <w:rFonts w:ascii="Arial" w:hAnsi="Arial" w:cs="Arial"/>
              <w:color w:val="000000"/>
            </w:rPr>
            <w:t xml:space="preserve"> et al., 2016)</w:t>
          </w:r>
        </w:sdtContent>
      </w:sdt>
      <w:r w:rsidRPr="007C356E">
        <w:rPr>
          <w:rFonts w:ascii="Arial" w:hAnsi="Arial" w:cs="Arial"/>
        </w:rPr>
        <w:t xml:space="preserve">, por lo que a partir del año 2016 inician las investigaciones para determinar qué </w:t>
      </w:r>
      <w:r w:rsidR="00A3380C" w:rsidRPr="007C356E">
        <w:rPr>
          <w:rFonts w:ascii="Arial" w:hAnsi="Arial" w:cs="Arial"/>
          <w:noProof/>
        </w:rPr>
        <w:lastRenderedPageBreak/>
        <mc:AlternateContent>
          <mc:Choice Requires="wps">
            <w:drawing>
              <wp:anchor distT="0" distB="0" distL="114300" distR="114300" simplePos="0" relativeHeight="251692032" behindDoc="0" locked="0" layoutInCell="1" allowOverlap="1" wp14:anchorId="47CE77B1" wp14:editId="14C8BD27">
                <wp:simplePos x="0" y="0"/>
                <wp:positionH relativeFrom="margin">
                  <wp:posOffset>142875</wp:posOffset>
                </wp:positionH>
                <wp:positionV relativeFrom="paragraph">
                  <wp:posOffset>2295525</wp:posOffset>
                </wp:positionV>
                <wp:extent cx="5942330" cy="323850"/>
                <wp:effectExtent l="0" t="0" r="1270" b="0"/>
                <wp:wrapSquare wrapText="bothSides"/>
                <wp:docPr id="2" name="Cuadro de texto 2"/>
                <wp:cNvGraphicFramePr/>
                <a:graphic xmlns:a="http://schemas.openxmlformats.org/drawingml/2006/main">
                  <a:graphicData uri="http://schemas.microsoft.com/office/word/2010/wordprocessingShape">
                    <wps:wsp>
                      <wps:cNvSpPr txBox="1"/>
                      <wps:spPr>
                        <a:xfrm>
                          <a:off x="0" y="0"/>
                          <a:ext cx="5942330" cy="323850"/>
                        </a:xfrm>
                        <a:prstGeom prst="rect">
                          <a:avLst/>
                        </a:prstGeom>
                        <a:solidFill>
                          <a:prstClr val="white"/>
                        </a:solidFill>
                        <a:ln>
                          <a:noFill/>
                        </a:ln>
                      </wps:spPr>
                      <wps:txbx>
                        <w:txbxContent>
                          <w:p w14:paraId="4AA80066" w14:textId="09715D78" w:rsidR="008B73DF" w:rsidRDefault="00DD4DC6" w:rsidP="00A3380C">
                            <w:pPr>
                              <w:pStyle w:val="Descripcin"/>
                              <w:spacing w:after="480"/>
                              <w:jc w:val="center"/>
                              <w:rPr>
                                <w:sz w:val="20"/>
                                <w:szCs w:val="20"/>
                              </w:rPr>
                            </w:pPr>
                            <w:r>
                              <w:rPr>
                                <w:sz w:val="20"/>
                                <w:szCs w:val="20"/>
                              </w:rPr>
                              <w:t>Fuente</w:t>
                            </w:r>
                            <w:r w:rsidR="008B73DF">
                              <w:rPr>
                                <w:sz w:val="20"/>
                                <w:szCs w:val="20"/>
                              </w:rPr>
                              <w:t>: Elaboración propia</w:t>
                            </w:r>
                          </w:p>
                          <w:p w14:paraId="5D1B815C" w14:textId="77777777" w:rsidR="00A3380C" w:rsidRPr="00A3380C" w:rsidRDefault="00A3380C" w:rsidP="00A3380C"/>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7CE77B1" id="_x0000_t202" coordsize="21600,21600" o:spt="202" path="m,l,21600r21600,l21600,xe">
                <v:stroke joinstyle="miter"/>
                <v:path gradientshapeok="t" o:connecttype="rect"/>
              </v:shapetype>
              <v:shape id="Cuadro de texto 2" o:spid="_x0000_s1026" type="#_x0000_t202" style="position:absolute;left:0;text-align:left;margin-left:11.25pt;margin-top:180.75pt;width:467.9pt;height:25.5pt;z-index:25169203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" stroked="f">
                <v:textbox inset="0,0,0,0">
                  <w:txbxContent>
                    <w:p w14:paraId="4AA80066" w14:textId="09715D78" w:rsidR="008B73DF" w:rsidRDefault="00DD4DC6" w:rsidP="00A3380C">
                      <w:pPr>
                        <w:pStyle w:val="Descripcin"/>
                        <w:spacing w:after="480"/>
                        <w:jc w:val="center"/>
                        <w:rPr>
                          <w:sz w:val="20"/>
                          <w:szCs w:val="20"/>
                        </w:rPr>
                      </w:pPr>
                      <w:r>
                        <w:rPr>
                          <w:sz w:val="20"/>
                          <w:szCs w:val="20"/>
                        </w:rPr>
                        <w:t>Fuente</w:t>
                      </w:r>
                      <w:r w:rsidR="008B73DF">
                        <w:rPr>
                          <w:sz w:val="20"/>
                          <w:szCs w:val="20"/>
                        </w:rPr>
                        <w:t>: Elaboración propia</w:t>
                      </w:r>
                    </w:p>
                    <w:p w14:paraId="5D1B815C" w14:textId="77777777" w:rsidR="00A3380C" w:rsidRPr="00A3380C" w:rsidRDefault="00A3380C" w:rsidP="00A3380C"/>
                  </w:txbxContent>
                </v:textbox>
                <w10:wrap type="square" anchorx="margin"/>
              </v:shape>
            </w:pict>
          </mc:Fallback>
        </mc:AlternateContent>
      </w:r>
      <w:r w:rsidRPr="007C356E">
        <w:rPr>
          <w:rFonts w:ascii="Arial" w:hAnsi="Arial" w:cs="Arial"/>
        </w:rPr>
        <w:t xml:space="preserve">factores se asocian a la ya confirmada brecha en poblaciones más contemporáneas. Algunos ejemplos de dichos factores son:  los estereotipos de género </w:t>
      </w:r>
      <w:sdt>
        <w:sdtPr>
          <w:rPr>
            <w:rFonts w:ascii="Arial" w:hAnsi="Arial" w:cs="Arial"/>
            <w:color w:val="000000"/>
          </w:rPr>
          <w:tag w:val="MENDELEY_CITATION_v3_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"/>
          <w:id w:val="-1570800469"/>
          <w:placeholder>
            <w:docPart w:val="E81A5A4C319840C99131A389C074A705"/>
          </w:placeholder>
        </w:sdtPr>
        <w:sdtContent>
          <w:r w:rsidRPr="007C356E">
            <w:rPr>
              <w:rFonts w:ascii="Arial" w:hAnsi="Arial" w:cs="Arial"/>
              <w:color w:val="000000"/>
            </w:rPr>
            <w:t>(</w:t>
          </w:r>
          <w:proofErr w:type="spellStart"/>
          <w:r w:rsidRPr="007C356E">
            <w:rPr>
              <w:rFonts w:ascii="Arial" w:hAnsi="Arial" w:cs="Arial"/>
              <w:color w:val="000000"/>
            </w:rPr>
            <w:t>Driva</w:t>
          </w:r>
          <w:proofErr w:type="spellEnd"/>
          <w:r w:rsidRPr="007C356E">
            <w:rPr>
              <w:rFonts w:ascii="Arial" w:hAnsi="Arial" w:cs="Arial"/>
              <w:color w:val="000000"/>
            </w:rPr>
            <w:t xml:space="preserve"> et al., 2016)</w:t>
          </w:r>
        </w:sdtContent>
      </w:sdt>
      <w:r w:rsidRPr="007C356E">
        <w:rPr>
          <w:rFonts w:ascii="Arial" w:hAnsi="Arial" w:cs="Arial"/>
        </w:rPr>
        <w:t xml:space="preserve">, la autoconfianza </w:t>
      </w:r>
      <w:sdt>
        <w:sdtPr>
          <w:rPr>
            <w:rFonts w:ascii="Arial" w:hAnsi="Arial" w:cs="Arial"/>
            <w:color w:val="000000"/>
          </w:rPr>
          <w:tag w:val="MENDELEY_CITATION_v3_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"/>
          <w:id w:val="1863475975"/>
          <w:placeholder>
            <w:docPart w:val="E81A5A4C319840C99131A389C074A705"/>
          </w:placeholder>
        </w:sdtPr>
        <w:sdtContent>
          <w:r w:rsidRPr="007C356E">
            <w:rPr>
              <w:rFonts w:ascii="Arial" w:hAnsi="Arial" w:cs="Arial"/>
              <w:color w:val="000000"/>
            </w:rPr>
            <w:t>(Al-</w:t>
          </w:r>
          <w:proofErr w:type="spellStart"/>
          <w:r w:rsidRPr="007C356E">
            <w:rPr>
              <w:rFonts w:ascii="Arial" w:hAnsi="Arial" w:cs="Arial"/>
              <w:color w:val="000000"/>
            </w:rPr>
            <w:t>Bahrani</w:t>
          </w:r>
          <w:proofErr w:type="spellEnd"/>
          <w:r w:rsidRPr="007C356E">
            <w:rPr>
              <w:rFonts w:ascii="Arial" w:hAnsi="Arial" w:cs="Arial"/>
              <w:color w:val="000000"/>
            </w:rPr>
            <w:t xml:space="preserve"> et al., 2020)</w:t>
          </w:r>
        </w:sdtContent>
      </w:sdt>
      <w:r w:rsidRPr="007C356E">
        <w:rPr>
          <w:rFonts w:ascii="Arial" w:hAnsi="Arial" w:cs="Arial"/>
        </w:rPr>
        <w:t xml:space="preserve">, el conocimiento y uso de la tecnología </w:t>
      </w:r>
      <w:sdt>
        <w:sdtPr>
          <w:rPr>
            <w:rFonts w:ascii="Arial" w:hAnsi="Arial" w:cs="Arial"/>
            <w:color w:val="000000"/>
          </w:rPr>
          <w:tag w:val="MENDELEY_CITATION_v3_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"/>
          <w:id w:val="-519235975"/>
          <w:placeholder>
            <w:docPart w:val="E81A5A4C319840C99131A389C074A705"/>
          </w:placeholder>
        </w:sdtPr>
        <w:sdtContent>
          <w:r w:rsidRPr="007C356E">
            <w:rPr>
              <w:rFonts w:ascii="Arial" w:eastAsia="Times New Roman" w:hAnsi="Arial" w:cs="Arial"/>
            </w:rPr>
            <w:t>(Hernández Rivera &amp; Rendón Rojas, 2021)</w:t>
          </w:r>
        </w:sdtContent>
      </w:sdt>
      <w:r w:rsidRPr="007C356E">
        <w:rPr>
          <w:rFonts w:ascii="Arial" w:hAnsi="Arial" w:cs="Arial"/>
        </w:rPr>
        <w:t xml:space="preserve">, la situación familiar </w:t>
      </w:r>
      <w:sdt>
        <w:sdtPr>
          <w:rPr>
            <w:rFonts w:ascii="Arial" w:hAnsi="Arial" w:cs="Arial"/>
            <w:color w:val="000000"/>
          </w:rPr>
          <w:tag w:val="MENDELEY_CITATION_v3_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"/>
          <w:id w:val="-446316000"/>
          <w:placeholder>
            <w:docPart w:val="E81A5A4C319840C99131A389C074A705"/>
          </w:placeholder>
        </w:sdtPr>
        <w:sdtContent>
          <w:r w:rsidRPr="007C356E">
            <w:rPr>
              <w:rFonts w:ascii="Arial" w:hAnsi="Arial" w:cs="Arial"/>
              <w:color w:val="000000"/>
            </w:rPr>
            <w:t>(Al-</w:t>
          </w:r>
          <w:proofErr w:type="spellStart"/>
          <w:r w:rsidRPr="007C356E">
            <w:rPr>
              <w:rFonts w:ascii="Arial" w:hAnsi="Arial" w:cs="Arial"/>
              <w:color w:val="000000"/>
            </w:rPr>
            <w:t>Bahrani</w:t>
          </w:r>
          <w:proofErr w:type="spellEnd"/>
          <w:r w:rsidRPr="007C356E">
            <w:rPr>
              <w:rFonts w:ascii="Arial" w:hAnsi="Arial" w:cs="Arial"/>
              <w:color w:val="000000"/>
            </w:rPr>
            <w:t xml:space="preserve"> et al., 2020)</w:t>
          </w:r>
        </w:sdtContent>
      </w:sdt>
      <w:r w:rsidRPr="007C356E">
        <w:rPr>
          <w:rFonts w:ascii="Arial" w:hAnsi="Arial" w:cs="Arial"/>
        </w:rPr>
        <w:t xml:space="preserve">, entre otros. Estos factores han ido evolucionando a través del tiempo, siendo para los primeros estudios un común denominador estudiar el estado civil </w:t>
      </w:r>
      <w:sdt>
        <w:sdtPr>
          <w:rPr>
            <w:rFonts w:ascii="Arial" w:hAnsi="Arial" w:cs="Arial"/>
            <w:color w:val="000000"/>
          </w:rPr>
          <w:tag w:val="MENDELEY_CITATION_v3_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"/>
          <w:id w:val="1938710384"/>
          <w:placeholder>
            <w:docPart w:val="E81A5A4C319840C99131A389C074A705"/>
          </w:placeholder>
        </w:sdtPr>
        <w:sdtContent>
          <w:r w:rsidRPr="007C356E">
            <w:rPr>
              <w:rFonts w:ascii="Arial" w:hAnsi="Arial" w:cs="Arial"/>
              <w:color w:val="000000"/>
            </w:rPr>
            <w:t>(Fonseca et al., 2012)</w:t>
          </w:r>
        </w:sdtContent>
      </w:sdt>
      <w:r w:rsidRPr="007C356E">
        <w:rPr>
          <w:rFonts w:ascii="Arial" w:hAnsi="Arial" w:cs="Arial"/>
        </w:rPr>
        <w:t xml:space="preserve"> y los roles de género </w:t>
      </w:r>
      <w:sdt>
        <w:sdtPr>
          <w:rPr>
            <w:rFonts w:ascii="Arial" w:hAnsi="Arial" w:cs="Arial"/>
            <w:color w:val="000000"/>
          </w:rPr>
          <w:tag w:val="MENDELEY_CITATION_v3_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"/>
          <w:id w:val="-112436767"/>
          <w:placeholder>
            <w:docPart w:val="E81A5A4C319840C99131A389C074A705"/>
          </w:placeholder>
        </w:sdtPr>
        <w:sdtContent>
          <w:r w:rsidRPr="007C356E">
            <w:rPr>
              <w:rFonts w:ascii="Arial" w:eastAsia="Times New Roman" w:hAnsi="Arial" w:cs="Arial"/>
            </w:rPr>
            <w:t>(</w:t>
          </w:r>
          <w:proofErr w:type="spellStart"/>
          <w:r w:rsidRPr="007C356E">
            <w:rPr>
              <w:rFonts w:ascii="Arial" w:eastAsia="Times New Roman" w:hAnsi="Arial" w:cs="Arial"/>
            </w:rPr>
            <w:t>Banerjee</w:t>
          </w:r>
          <w:proofErr w:type="spellEnd"/>
          <w:r w:rsidRPr="007C356E">
            <w:rPr>
              <w:rFonts w:ascii="Arial" w:eastAsia="Times New Roman" w:hAnsi="Arial" w:cs="Arial"/>
            </w:rPr>
            <w:t xml:space="preserve"> &amp; Roy, 2020)</w:t>
          </w:r>
        </w:sdtContent>
      </w:sdt>
      <w:r w:rsidRPr="007C356E">
        <w:rPr>
          <w:rFonts w:ascii="Arial" w:hAnsi="Arial" w:cs="Arial"/>
          <w:color w:val="000000"/>
        </w:rPr>
        <w:t xml:space="preserve"> </w:t>
      </w:r>
      <w:r w:rsidRPr="007C356E">
        <w:rPr>
          <w:rFonts w:ascii="Arial" w:hAnsi="Arial" w:cs="Arial"/>
        </w:rPr>
        <w:t xml:space="preserve">y, con el pasar de los años se han tenido en cuenta otros, tales como el mercado laboral, la industria en la que se </w:t>
      </w:r>
      <w:r w:rsidR="008B73DF" w:rsidRPr="007C356E">
        <w:rPr>
          <w:rFonts w:ascii="Arial" w:hAnsi="Arial" w:cs="Arial"/>
          <w:noProof/>
        </w:rPr>
        <mc:AlternateContent>
          <mc:Choice Requires="wps">
            <w:drawing>
              <wp:anchor distT="0" distB="0" distL="114300" distR="114300" simplePos="0" relativeHeight="251689984" behindDoc="0" locked="0" layoutInCell="1" allowOverlap="1" wp14:anchorId="68F4EED8" wp14:editId="2E20A8B7">
                <wp:simplePos x="0" y="0"/>
                <wp:positionH relativeFrom="margin">
                  <wp:align>right</wp:align>
                </wp:positionH>
                <wp:positionV relativeFrom="paragraph">
                  <wp:posOffset>0</wp:posOffset>
                </wp:positionV>
                <wp:extent cx="5942330" cy="171450"/>
                <wp:effectExtent l="0" t="0" r="1270" b="0"/>
                <wp:wrapSquare wrapText="bothSides"/>
                <wp:docPr id="1" name="Cuadro de texto 1"/>
                <wp:cNvGraphicFramePr/>
                <a:graphic xmlns:a="http://schemas.openxmlformats.org/drawingml/2006/main">
                  <a:graphicData uri="http://schemas.microsoft.com/office/word/2010/wordprocessingShape">
                    <wps:wsp>
                      <wps:cNvSpPr txBox="1"/>
                      <wps:spPr>
                        <a:xfrm>
                          <a:off x="0" y="0"/>
                          <a:ext cx="5942330" cy="171450"/>
                        </a:xfrm>
                        <a:prstGeom prst="rect">
                          <a:avLst/>
                        </a:prstGeom>
                        <a:solidFill>
                          <a:prstClr val="white"/>
                        </a:solidFill>
                        <a:ln>
                          <a:noFill/>
                        </a:ln>
                      </wps:spPr>
                      <wps:txbx>
                        <w:txbxContent>
                          <w:p w14:paraId="7AEBB715" w14:textId="57DF6285" w:rsidR="008B73DF" w:rsidRPr="008B73DF" w:rsidRDefault="008B73DF" w:rsidP="008B73DF">
                            <w:pPr>
                              <w:pStyle w:val="Descripcin"/>
                              <w:jc w:val="center"/>
                              <w:rPr>
                                <w:sz w:val="20"/>
                                <w:szCs w:val="20"/>
                              </w:rPr>
                            </w:pPr>
                            <w:r w:rsidRPr="008B73DF">
                              <w:rPr>
                                <w:sz w:val="20"/>
                                <w:szCs w:val="20"/>
                              </w:rPr>
                              <w:t xml:space="preserve">Figura </w:t>
                            </w:r>
                            <w:r w:rsidR="00892BDC">
                              <w:rPr>
                                <w:sz w:val="20"/>
                                <w:szCs w:val="20"/>
                              </w:rPr>
                              <w:t>I</w:t>
                            </w:r>
                            <w:r w:rsidRPr="008B73DF">
                              <w:rPr>
                                <w:sz w:val="20"/>
                                <w:szCs w:val="20"/>
                              </w:rPr>
                              <w:t>: Evolución de estudios sobre la brecha de género en Alfabetización Financiera:</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8F4EED8" id="_x0000_t202" coordsize="21600,21600" o:spt="202" path="m,l,21600r21600,l21600,xe">
                <v:stroke joinstyle="miter"/>
                <v:path gradientshapeok="t" o:connecttype="rect"/>
              </v:shapetype>
              <v:shape id="Cuadro de texto 1" o:spid="_x0000_s1027" type="#_x0000_t202" style="position:absolute;left:0;text-align:left;margin-left:416.7pt;margin-top:0;width:467.9pt;height:13.5pt;z-index:251689984;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" stroked="f">
                <v:textbox inset="0,0,0,0">
                  <w:txbxContent>
                    <w:p w14:paraId="7AEBB715" w14:textId="57DF6285" w:rsidR="008B73DF" w:rsidRPr="008B73DF" w:rsidRDefault="008B73DF" w:rsidP="008B73DF">
                      <w:pPr>
                        <w:pStyle w:val="Descripcin"/>
                        <w:jc w:val="center"/>
                        <w:rPr>
                          <w:sz w:val="20"/>
                          <w:szCs w:val="20"/>
                        </w:rPr>
                      </w:pPr>
                      <w:r w:rsidRPr="008B73DF">
                        <w:rPr>
                          <w:sz w:val="20"/>
                          <w:szCs w:val="20"/>
                        </w:rPr>
                        <w:t xml:space="preserve">Figura </w:t>
                      </w:r>
                      <w:r w:rsidR="00892BDC">
                        <w:rPr>
                          <w:sz w:val="20"/>
                          <w:szCs w:val="20"/>
                        </w:rPr>
                        <w:t>I</w:t>
                      </w:r>
                      <w:r w:rsidRPr="008B73DF">
                        <w:rPr>
                          <w:sz w:val="20"/>
                          <w:szCs w:val="20"/>
                        </w:rPr>
                        <w:t>: Evolución de estudios sobre la brecha de género en Alfabetización Financiera:</w:t>
                      </w:r>
                    </w:p>
                  </w:txbxContent>
                </v:textbox>
                <w10:wrap type="square" anchorx="margin"/>
              </v:shape>
            </w:pict>
          </mc:Fallback>
        </mc:AlternateContent>
      </w:r>
      <w:r w:rsidR="000D752A" w:rsidRPr="007C356E">
        <w:rPr>
          <w:rFonts w:ascii="Arial" w:hAnsi="Arial" w:cs="Arial"/>
          <w:noProof/>
        </w:rPr>
        <w:drawing>
          <wp:anchor distT="0" distB="0" distL="114300" distR="114300" simplePos="0" relativeHeight="251658240" behindDoc="1" locked="0" layoutInCell="1" allowOverlap="1" wp14:anchorId="2179ADAC" wp14:editId="6C0A8A7D">
            <wp:simplePos x="0" y="0"/>
            <wp:positionH relativeFrom="margin">
              <wp:align>right</wp:align>
            </wp:positionH>
            <wp:positionV relativeFrom="paragraph">
              <wp:posOffset>209550</wp:posOffset>
            </wp:positionV>
            <wp:extent cx="5942330" cy="2051685"/>
            <wp:effectExtent l="0" t="0" r="1270" b="5715"/>
            <wp:wrapSquare wrapText="bothSides"/>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n 17"/>
                    <pic:cNvPicPr/>
                  </pic:nvPicPr>
                  <pic:blipFill rotWithShape="1">
                    <a:blip r:embed="rId6">
                      <a:extLst>
                        <a:ext uri="{28A0092B-C50C-407E-A947-70E740481C1C}">
                          <a14:useLocalDpi xmlns:a14="http://schemas.microsoft.com/office/drawing/2010/main" val="0"/>
                        </a:ext>
                      </a:extLst>
                    </a:blip>
                    <a:srcRect t="24806" b="29154"/>
                    <a:stretch/>
                  </pic:blipFill>
                  <pic:spPr bwMode="auto">
                    <a:xfrm>
                      <a:off x="0" y="0"/>
                      <a:ext cx="5942330" cy="2051685"/>
                    </a:xfrm>
                    <a:prstGeom prst="rect">
                      <a:avLst/>
                    </a:prstGeom>
                    <a:ln>
                      <a:noFill/>
                    </a:ln>
                    <a:extLst>
                      <a:ext uri="{53640926-AAD7-44D8-BBD7-CCE9431645EC}">
                        <a14:shadowObscured xmlns:a14="http://schemas.microsoft.com/office/drawing/2010/main"/>
                      </a:ext>
                    </a:extLst>
                  </pic:spPr>
                </pic:pic>
              </a:graphicData>
            </a:graphic>
          </wp:anchor>
        </w:drawing>
      </w:r>
      <w:proofErr w:type="spellStart"/>
      <w:r w:rsidR="00892BDC">
        <w:rPr>
          <w:rFonts w:ascii="Arial" w:hAnsi="Arial" w:cs="Arial"/>
        </w:rPr>
        <w:t>I</w:t>
      </w:r>
      <w:r w:rsidRPr="007C356E">
        <w:rPr>
          <w:rFonts w:ascii="Arial" w:hAnsi="Arial" w:cs="Arial"/>
        </w:rPr>
        <w:t>trabaja</w:t>
      </w:r>
      <w:proofErr w:type="spellEnd"/>
      <w:r w:rsidRPr="007C356E">
        <w:rPr>
          <w:rFonts w:ascii="Arial" w:hAnsi="Arial" w:cs="Arial"/>
        </w:rPr>
        <w:t xml:space="preserve">, la afiliación sindical, la ocupación </w:t>
      </w:r>
      <w:sdt>
        <w:sdtPr>
          <w:rPr>
            <w:rFonts w:ascii="Arial" w:hAnsi="Arial" w:cs="Arial"/>
            <w:color w:val="000000"/>
          </w:rPr>
          <w:tag w:val="MENDELEY_CITATION_v3_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"/>
          <w:id w:val="1361629209"/>
          <w:placeholder>
            <w:docPart w:val="E81A5A4C319840C99131A389C074A705"/>
          </w:placeholder>
        </w:sdtPr>
        <w:sdtContent>
          <w:r w:rsidRPr="007C356E">
            <w:rPr>
              <w:rFonts w:ascii="Arial" w:eastAsia="Times New Roman" w:hAnsi="Arial" w:cs="Arial"/>
            </w:rPr>
            <w:t>(Preston &amp; Wright, 2019)</w:t>
          </w:r>
        </w:sdtContent>
      </w:sdt>
      <w:r w:rsidRPr="007C356E">
        <w:rPr>
          <w:rFonts w:ascii="Arial" w:hAnsi="Arial" w:cs="Arial"/>
        </w:rPr>
        <w:t>, etc.</w:t>
      </w:r>
    </w:p>
    <w:p w14:paraId="7228E81E" w14:textId="77777777" w:rsidR="00A3380C" w:rsidRDefault="00A3380C" w:rsidP="00A3380C">
      <w:pPr>
        <w:spacing w:after="480"/>
        <w:rPr>
          <w:rFonts w:ascii="Arial" w:hAnsi="Arial" w:cs="Arial"/>
        </w:rPr>
      </w:pPr>
    </w:p>
    <w:p w14:paraId="063F3D31" w14:textId="47931F69" w:rsidR="008F788F" w:rsidRPr="007C356E" w:rsidRDefault="008F788F" w:rsidP="00A3380C">
      <w:pPr>
        <w:spacing w:before="120" w:after="480"/>
        <w:rPr>
          <w:rFonts w:ascii="Arial" w:hAnsi="Arial" w:cs="Arial"/>
        </w:rPr>
      </w:pPr>
      <w:r w:rsidRPr="007C356E">
        <w:rPr>
          <w:rFonts w:ascii="Arial" w:hAnsi="Arial" w:cs="Arial"/>
        </w:rPr>
        <w:t xml:space="preserve">Por otra parte, se rescata la alta presencia de estudios en el continente europeo, donde sobresale la participación de Alemania con el mayor número de investigaciones realizadas, entre las cuales abarcan todos los rangos etarios y diversos factores como la influencia de la cultura en la alfabetización financiera de los adultos </w:t>
      </w:r>
      <w:sdt>
        <w:sdtPr>
          <w:rPr>
            <w:rFonts w:ascii="Arial" w:hAnsi="Arial" w:cs="Arial"/>
            <w:color w:val="000000"/>
          </w:rPr>
          <w:tag w:val="MENDELEY_CITATION_v3_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"/>
          <w:id w:val="72790955"/>
          <w:placeholder>
            <w:docPart w:val="E81A5A4C319840C99131A389C074A705"/>
          </w:placeholder>
        </w:sdtPr>
        <w:sdtContent>
          <w:r w:rsidRPr="007C356E">
            <w:rPr>
              <w:rFonts w:ascii="Arial" w:hAnsi="Arial" w:cs="Arial"/>
              <w:color w:val="000000"/>
            </w:rPr>
            <w:t>(</w:t>
          </w:r>
          <w:proofErr w:type="spellStart"/>
          <w:r w:rsidRPr="007C356E">
            <w:rPr>
              <w:rFonts w:ascii="Arial" w:hAnsi="Arial" w:cs="Arial"/>
              <w:color w:val="000000"/>
            </w:rPr>
            <w:t>Rink</w:t>
          </w:r>
          <w:proofErr w:type="spellEnd"/>
          <w:r w:rsidRPr="007C356E">
            <w:rPr>
              <w:rFonts w:ascii="Arial" w:hAnsi="Arial" w:cs="Arial"/>
              <w:color w:val="000000"/>
            </w:rPr>
            <w:t xml:space="preserve"> et al., 2021)</w:t>
          </w:r>
        </w:sdtContent>
      </w:sdt>
      <w:r w:rsidRPr="007C356E">
        <w:rPr>
          <w:rFonts w:ascii="Arial" w:hAnsi="Arial" w:cs="Arial"/>
          <w:color w:val="000000"/>
        </w:rPr>
        <w:t xml:space="preserve"> </w:t>
      </w:r>
      <w:r w:rsidRPr="007C356E">
        <w:rPr>
          <w:rFonts w:ascii="Arial" w:hAnsi="Arial" w:cs="Arial"/>
        </w:rPr>
        <w:t xml:space="preserve">y, los estereotipos de género para adolescentes </w:t>
      </w:r>
      <w:sdt>
        <w:sdtPr>
          <w:rPr>
            <w:rFonts w:ascii="Arial" w:hAnsi="Arial" w:cs="Arial"/>
            <w:color w:val="000000"/>
          </w:rPr>
          <w:tag w:val="MENDELEY_CITATION_v3_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"/>
          <w:id w:val="1326783449"/>
          <w:placeholder>
            <w:docPart w:val="E81A5A4C319840C99131A389C074A705"/>
          </w:placeholder>
        </w:sdtPr>
        <w:sdtContent>
          <w:r w:rsidRPr="007C356E">
            <w:rPr>
              <w:rFonts w:ascii="Arial" w:hAnsi="Arial" w:cs="Arial"/>
              <w:color w:val="000000"/>
            </w:rPr>
            <w:t>(</w:t>
          </w:r>
          <w:proofErr w:type="spellStart"/>
          <w:r w:rsidRPr="007C356E">
            <w:rPr>
              <w:rFonts w:ascii="Arial" w:hAnsi="Arial" w:cs="Arial"/>
              <w:color w:val="000000"/>
            </w:rPr>
            <w:t>Driva</w:t>
          </w:r>
          <w:proofErr w:type="spellEnd"/>
          <w:r w:rsidRPr="007C356E">
            <w:rPr>
              <w:rFonts w:ascii="Arial" w:hAnsi="Arial" w:cs="Arial"/>
              <w:color w:val="000000"/>
            </w:rPr>
            <w:t xml:space="preserve"> et al., 2016)</w:t>
          </w:r>
        </w:sdtContent>
      </w:sdt>
      <w:r w:rsidRPr="007C356E">
        <w:rPr>
          <w:rFonts w:ascii="Arial" w:hAnsi="Arial" w:cs="Arial"/>
        </w:rPr>
        <w:t xml:space="preserve">. Adicionalmente, en Italia han enfocado sus esfuerzos en las poblaciones más jóvenes, donde se remarca la investigación sobre cómo el rol de la madre influye en el futuro conocimiento financiero de las niñas </w:t>
      </w:r>
      <w:sdt>
        <w:sdtPr>
          <w:rPr>
            <w:rFonts w:ascii="Arial" w:hAnsi="Arial" w:cs="Arial"/>
            <w:color w:val="000000"/>
          </w:rPr>
          <w:tag w:val="MENDELEY_CITATION_v3_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"/>
          <w:id w:val="-1452854690"/>
          <w:placeholder>
            <w:docPart w:val="E81A5A4C319840C99131A389C074A705"/>
          </w:placeholder>
        </w:sdtPr>
        <w:sdtContent>
          <w:r w:rsidRPr="007C356E">
            <w:rPr>
              <w:rFonts w:ascii="Arial" w:eastAsia="Times New Roman" w:hAnsi="Arial" w:cs="Arial"/>
            </w:rPr>
            <w:t>(</w:t>
          </w:r>
          <w:proofErr w:type="spellStart"/>
          <w:r w:rsidRPr="007C356E">
            <w:rPr>
              <w:rFonts w:ascii="Arial" w:eastAsia="Times New Roman" w:hAnsi="Arial" w:cs="Arial"/>
            </w:rPr>
            <w:t>Bottazzi</w:t>
          </w:r>
          <w:proofErr w:type="spellEnd"/>
          <w:r w:rsidRPr="007C356E">
            <w:rPr>
              <w:rFonts w:ascii="Arial" w:eastAsia="Times New Roman" w:hAnsi="Arial" w:cs="Arial"/>
            </w:rPr>
            <w:t xml:space="preserve"> &amp; Lusardi, 2021)</w:t>
          </w:r>
        </w:sdtContent>
      </w:sdt>
      <w:r w:rsidRPr="007C356E">
        <w:rPr>
          <w:rFonts w:ascii="Arial" w:hAnsi="Arial" w:cs="Arial"/>
        </w:rPr>
        <w:t xml:space="preserve">. Avanzando hacia el continente americano, el cual arroja los primeros estudios acerca de la brecha de género en alfabetización </w:t>
      </w:r>
      <w:r w:rsidRPr="007C356E">
        <w:rPr>
          <w:rFonts w:ascii="Arial" w:hAnsi="Arial" w:cs="Arial"/>
        </w:rPr>
        <w:lastRenderedPageBreak/>
        <w:t xml:space="preserve">financiera, Canadá ha enfocado sus esfuerzos en la población adulta y en cómo la confianza influye en la alfabetización financiera </w:t>
      </w:r>
      <w:sdt>
        <w:sdtPr>
          <w:rPr>
            <w:rFonts w:ascii="Arial" w:hAnsi="Arial" w:cs="Arial"/>
          </w:rPr>
          <w:tag w:val="MENDELEY_CITATION_v3_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"/>
          <w:id w:val="701519188"/>
          <w:placeholder>
            <w:docPart w:val="800658367FE14222B7E64A969432EBA7"/>
          </w:placeholder>
        </w:sdtPr>
        <w:sdtContent>
          <w:r w:rsidRPr="007C356E">
            <w:rPr>
              <w:rFonts w:ascii="Arial" w:eastAsia="Times New Roman" w:hAnsi="Arial" w:cs="Arial"/>
            </w:rPr>
            <w:t>(Fonseca &amp; Lord, 2019)</w:t>
          </w:r>
        </w:sdtContent>
      </w:sdt>
      <w:r w:rsidRPr="007C356E">
        <w:rPr>
          <w:rFonts w:ascii="Arial" w:hAnsi="Arial" w:cs="Arial"/>
        </w:rPr>
        <w:t xml:space="preserve">, mientras que Estados unidos abarca todos los rangos etarios y diferentes problemáticas tales como la comprensión de las causas subyacentes de la brecha de alfabetización financiera basada en el género para universitarios </w:t>
      </w:r>
      <w:sdt>
        <w:sdtPr>
          <w:rPr>
            <w:rFonts w:ascii="Arial" w:hAnsi="Arial" w:cs="Arial"/>
            <w:color w:val="000000"/>
          </w:rPr>
          <w:tag w:val="MENDELEY_CITATION_v3_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"/>
          <w:id w:val="1678769011"/>
          <w:placeholder>
            <w:docPart w:val="800658367FE14222B7E64A969432EBA7"/>
          </w:placeholder>
        </w:sdtPr>
        <w:sdtContent>
          <w:r w:rsidRPr="007C356E">
            <w:rPr>
              <w:rFonts w:ascii="Arial" w:hAnsi="Arial" w:cs="Arial"/>
              <w:color w:val="000000"/>
            </w:rPr>
            <w:t>(Al-</w:t>
          </w:r>
          <w:proofErr w:type="spellStart"/>
          <w:r w:rsidRPr="007C356E">
            <w:rPr>
              <w:rFonts w:ascii="Arial" w:hAnsi="Arial" w:cs="Arial"/>
              <w:color w:val="000000"/>
            </w:rPr>
            <w:t>Bahrani</w:t>
          </w:r>
          <w:proofErr w:type="spellEnd"/>
          <w:r w:rsidRPr="007C356E">
            <w:rPr>
              <w:rFonts w:ascii="Arial" w:hAnsi="Arial" w:cs="Arial"/>
              <w:color w:val="000000"/>
            </w:rPr>
            <w:t xml:space="preserve"> et al., 2020)</w:t>
          </w:r>
        </w:sdtContent>
      </w:sdt>
      <w:r w:rsidRPr="007C356E">
        <w:rPr>
          <w:rFonts w:ascii="Arial" w:hAnsi="Arial" w:cs="Arial"/>
          <w:color w:val="000000"/>
        </w:rPr>
        <w:t xml:space="preserve">, los componentes culturales que afectan la educación financiera de adultos </w:t>
      </w:r>
      <w:sdt>
        <w:sdtPr>
          <w:rPr>
            <w:rFonts w:ascii="Arial" w:hAnsi="Arial" w:cs="Arial"/>
            <w:color w:val="000000"/>
          </w:rPr>
          <w:tag w:val="MENDELEY_CITATION_v3_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"/>
          <w:id w:val="1587426140"/>
          <w:placeholder>
            <w:docPart w:val="800658367FE14222B7E64A969432EBA7"/>
          </w:placeholder>
        </w:sdtPr>
        <w:sdtContent>
          <w:r w:rsidRPr="007C356E">
            <w:rPr>
              <w:rFonts w:ascii="Arial" w:eastAsia="Times New Roman" w:hAnsi="Arial" w:cs="Arial"/>
            </w:rPr>
            <w:t>(</w:t>
          </w:r>
          <w:proofErr w:type="spellStart"/>
          <w:r w:rsidRPr="007C356E">
            <w:rPr>
              <w:rFonts w:ascii="Arial" w:eastAsia="Times New Roman" w:hAnsi="Arial" w:cs="Arial"/>
            </w:rPr>
            <w:t>Davoli</w:t>
          </w:r>
          <w:proofErr w:type="spellEnd"/>
          <w:r w:rsidRPr="007C356E">
            <w:rPr>
              <w:rFonts w:ascii="Arial" w:eastAsia="Times New Roman" w:hAnsi="Arial" w:cs="Arial"/>
            </w:rPr>
            <w:t xml:space="preserve"> &amp; Rodríguez-Planas, 2020)</w:t>
          </w:r>
        </w:sdtContent>
      </w:sdt>
      <w:r w:rsidRPr="007C356E">
        <w:rPr>
          <w:rFonts w:ascii="Arial" w:hAnsi="Arial" w:cs="Arial"/>
          <w:color w:val="000000"/>
        </w:rPr>
        <w:t>, etc</w:t>
      </w:r>
      <w:r w:rsidRPr="007C356E">
        <w:rPr>
          <w:rFonts w:ascii="Arial" w:hAnsi="Arial" w:cs="Arial"/>
        </w:rPr>
        <w:t xml:space="preserve">. Para el caso de sur América, México inicia presentando investigaciones sobre los adultos y avanza a la población más joven, en donde se estudian nuevos factores que influyen en la brecha de género, como, por ejemplo, la relación y el correcto uso de la tecnología </w:t>
      </w:r>
      <w:sdt>
        <w:sdtPr>
          <w:rPr>
            <w:rFonts w:ascii="Arial" w:hAnsi="Arial" w:cs="Arial"/>
            <w:color w:val="000000"/>
          </w:rPr>
          <w:tag w:val="MENDELEY_CITATION_v3_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"/>
          <w:id w:val="-1402679431"/>
          <w:placeholder>
            <w:docPart w:val="E81A5A4C319840C99131A389C074A705"/>
          </w:placeholder>
        </w:sdtPr>
        <w:sdtContent>
          <w:r w:rsidRPr="007C356E">
            <w:rPr>
              <w:rFonts w:ascii="Arial" w:eastAsia="Times New Roman" w:hAnsi="Arial" w:cs="Arial"/>
            </w:rPr>
            <w:t>(Hernández Rivera &amp; Rendón Rojas, 2021)</w:t>
          </w:r>
        </w:sdtContent>
      </w:sdt>
      <w:r w:rsidRPr="007C356E">
        <w:rPr>
          <w:rFonts w:ascii="Arial" w:hAnsi="Arial" w:cs="Arial"/>
        </w:rPr>
        <w:t xml:space="preserve">. En cuanto al continente africano, se encontró que las características individuales como la educación financiera, el nivel educativo y la proximidad a las instituciones financieras contribuyen positiva y significativamente a la brecha de género observada </w:t>
      </w:r>
      <w:sdt>
        <w:sdtPr>
          <w:rPr>
            <w:rFonts w:ascii="Arial" w:hAnsi="Arial" w:cs="Arial"/>
            <w:color w:val="000000"/>
          </w:rPr>
          <w:tag w:val="MENDELEY_CITATION_v3_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"/>
          <w:id w:val="2020657083"/>
          <w:placeholder>
            <w:docPart w:val="E81A5A4C319840C99131A389C074A705"/>
          </w:placeholder>
        </w:sdtPr>
        <w:sdtContent>
          <w:r w:rsidRPr="007C356E">
            <w:rPr>
              <w:rFonts w:ascii="Arial" w:hAnsi="Arial" w:cs="Arial"/>
              <w:color w:val="000000"/>
            </w:rPr>
            <w:t>(</w:t>
          </w:r>
          <w:proofErr w:type="spellStart"/>
          <w:r w:rsidRPr="007C356E">
            <w:rPr>
              <w:rFonts w:ascii="Arial" w:hAnsi="Arial" w:cs="Arial"/>
              <w:color w:val="000000"/>
            </w:rPr>
            <w:t>Mukong</w:t>
          </w:r>
          <w:proofErr w:type="spellEnd"/>
          <w:r w:rsidRPr="007C356E">
            <w:rPr>
              <w:rFonts w:ascii="Arial" w:hAnsi="Arial" w:cs="Arial"/>
              <w:color w:val="000000"/>
            </w:rPr>
            <w:t xml:space="preserve"> et al., 2020)</w:t>
          </w:r>
        </w:sdtContent>
      </w:sdt>
      <w:r w:rsidRPr="007C356E">
        <w:rPr>
          <w:rFonts w:ascii="Arial" w:hAnsi="Arial" w:cs="Arial"/>
          <w:color w:val="000000"/>
        </w:rPr>
        <w:t>. En</w:t>
      </w:r>
      <w:r w:rsidRPr="007C356E">
        <w:rPr>
          <w:rFonts w:ascii="Arial" w:hAnsi="Arial" w:cs="Arial"/>
        </w:rPr>
        <w:t xml:space="preserve"> Australia, perteneciente al continente Oceánico, se </w:t>
      </w:r>
      <w:r w:rsidRPr="007C356E">
        <w:rPr>
          <w:rFonts w:ascii="Arial" w:hAnsi="Arial" w:cs="Arial"/>
        </w:rPr>
        <w:t xml:space="preserve">han realizado estudios que sugieren que variables tales como el capital humano o la edad no son importantes para explicar la brecha de género, mientras que el tipo de ocupación y el estado del mercado laboral si lo son </w:t>
      </w:r>
      <w:sdt>
        <w:sdtPr>
          <w:rPr>
            <w:rFonts w:ascii="Arial" w:hAnsi="Arial" w:cs="Arial"/>
          </w:rPr>
          <w:tag w:val="MENDELEY_CITATION_v3_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"/>
          <w:id w:val="-1597240267"/>
          <w:placeholder>
            <w:docPart w:val="0FA18B494484460E8321B3C0C76190F8"/>
          </w:placeholder>
        </w:sdtPr>
        <w:sdtContent>
          <w:r w:rsidRPr="007C356E">
            <w:rPr>
              <w:rFonts w:ascii="Arial" w:eastAsia="Times New Roman" w:hAnsi="Arial" w:cs="Arial"/>
            </w:rPr>
            <w:t>(Preston &amp; Wright, 2019)</w:t>
          </w:r>
        </w:sdtContent>
      </w:sdt>
      <w:r w:rsidRPr="007C356E">
        <w:rPr>
          <w:rFonts w:ascii="Arial" w:hAnsi="Arial" w:cs="Arial"/>
        </w:rPr>
        <w:t xml:space="preserve">. Finalmente, los artículos en los que se incluyen varios países, se enfocan para la población joven en la influencia familiar sobre la alfabetización financiera </w:t>
      </w:r>
      <w:sdt>
        <w:sdtPr>
          <w:rPr>
            <w:rFonts w:ascii="Arial" w:hAnsi="Arial" w:cs="Arial"/>
            <w:color w:val="000000"/>
          </w:rPr>
          <w:tag w:val="MENDELEY_CITATION_v3_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"/>
          <w:id w:val="388314549"/>
          <w:placeholder>
            <w:docPart w:val="E81A5A4C319840C99131A389C074A705"/>
          </w:placeholder>
        </w:sdtPr>
        <w:sdtContent>
          <w:r w:rsidRPr="007C356E">
            <w:rPr>
              <w:rFonts w:ascii="Arial" w:hAnsi="Arial" w:cs="Arial"/>
              <w:color w:val="000000"/>
            </w:rPr>
            <w:t>(Chambers et al., 2019)</w:t>
          </w:r>
        </w:sdtContent>
      </w:sdt>
      <w:r w:rsidRPr="007C356E">
        <w:rPr>
          <w:rFonts w:ascii="Arial" w:hAnsi="Arial" w:cs="Arial"/>
        </w:rPr>
        <w:t xml:space="preserve"> y para la población adulta en el nivel de desarrollo del país </w:t>
      </w:r>
      <w:sdt>
        <w:sdtPr>
          <w:rPr>
            <w:rFonts w:ascii="Arial" w:hAnsi="Arial" w:cs="Arial"/>
            <w:color w:val="000000"/>
          </w:rPr>
          <w:tag w:val="MENDELEY_CITATION_v3_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"/>
          <w:id w:val="858698625"/>
          <w:placeholder>
            <w:docPart w:val="E81A5A4C319840C99131A389C074A705"/>
          </w:placeholder>
        </w:sdtPr>
        <w:sdtContent>
          <w:r w:rsidRPr="007C356E">
            <w:rPr>
              <w:rFonts w:ascii="Arial" w:hAnsi="Arial" w:cs="Arial"/>
              <w:color w:val="000000"/>
            </w:rPr>
            <w:t>(</w:t>
          </w:r>
          <w:proofErr w:type="spellStart"/>
          <w:r w:rsidRPr="007C356E">
            <w:rPr>
              <w:rFonts w:ascii="Arial" w:hAnsi="Arial" w:cs="Arial"/>
              <w:color w:val="000000"/>
            </w:rPr>
            <w:t>Cupák</w:t>
          </w:r>
          <w:proofErr w:type="spellEnd"/>
          <w:r w:rsidRPr="007C356E">
            <w:rPr>
              <w:rFonts w:ascii="Arial" w:hAnsi="Arial" w:cs="Arial"/>
              <w:color w:val="000000"/>
            </w:rPr>
            <w:t xml:space="preserve"> et al., 2018)</w:t>
          </w:r>
        </w:sdtContent>
      </w:sdt>
      <w:r w:rsidRPr="007C356E">
        <w:rPr>
          <w:rFonts w:ascii="Arial" w:hAnsi="Arial" w:cs="Arial"/>
        </w:rPr>
        <w:t xml:space="preserve"> y la autoconfianza </w:t>
      </w:r>
      <w:sdt>
        <w:sdtPr>
          <w:rPr>
            <w:rFonts w:ascii="Arial" w:hAnsi="Arial" w:cs="Arial"/>
            <w:color w:val="000000"/>
          </w:rPr>
          <w:tag w:val="MENDELEY_CITATION_v3_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"/>
          <w:id w:val="1996300788"/>
          <w:placeholder>
            <w:docPart w:val="E81A5A4C319840C99131A389C074A705"/>
          </w:placeholder>
        </w:sdtPr>
        <w:sdtContent>
          <w:r w:rsidRPr="007C356E">
            <w:rPr>
              <w:rFonts w:ascii="Arial" w:hAnsi="Arial" w:cs="Arial"/>
              <w:color w:val="000000"/>
            </w:rPr>
            <w:t>(</w:t>
          </w:r>
          <w:proofErr w:type="spellStart"/>
          <w:r w:rsidRPr="007C356E">
            <w:rPr>
              <w:rFonts w:ascii="Arial" w:hAnsi="Arial" w:cs="Arial"/>
              <w:color w:val="000000"/>
            </w:rPr>
            <w:t>Cupák</w:t>
          </w:r>
          <w:proofErr w:type="spellEnd"/>
          <w:r w:rsidRPr="007C356E">
            <w:rPr>
              <w:rFonts w:ascii="Arial" w:hAnsi="Arial" w:cs="Arial"/>
              <w:color w:val="000000"/>
            </w:rPr>
            <w:t xml:space="preserve"> et al., 2021)</w:t>
          </w:r>
        </w:sdtContent>
      </w:sdt>
      <w:r w:rsidRPr="007C356E">
        <w:rPr>
          <w:rFonts w:ascii="Arial" w:hAnsi="Arial" w:cs="Arial"/>
        </w:rPr>
        <w:t>.</w:t>
      </w:r>
    </w:p>
    <w:p w14:paraId="431B3BEB" w14:textId="77777777" w:rsidR="008F788F" w:rsidRPr="007C356E" w:rsidRDefault="008F788F" w:rsidP="008F788F">
      <w:pPr>
        <w:rPr>
          <w:rFonts w:ascii="Arial" w:hAnsi="Arial" w:cs="Arial"/>
        </w:rPr>
      </w:pPr>
      <w:r w:rsidRPr="007C356E">
        <w:rPr>
          <w:rFonts w:ascii="Arial" w:hAnsi="Arial" w:cs="Arial"/>
        </w:rPr>
        <w:t xml:space="preserve">Teniendo lo anterior en mente, existen instituciones como la OCDE, el Banco Mundial, el G-20, el Banco de desarrollo de América Latina (CAF), etc., que a lo largo de los años y mediante su compromiso con el desarrollo económico, han movilizado a los gobiernos sobre los temas de alfabetización financiera, a través de su apoyo en la realización de estrategias, evaluación e implementación de esfuerzos y, emitiendo directrices y principios a seguir en la construcción de políticas públicas relacionadas con la alfabetización financiera, evidenciando que cada vez es más grande el número </w:t>
      </w:r>
      <w:r w:rsidRPr="007C356E">
        <w:rPr>
          <w:rFonts w:ascii="Arial" w:hAnsi="Arial" w:cs="Arial"/>
        </w:rPr>
        <w:lastRenderedPageBreak/>
        <w:t xml:space="preserve">de países que ha establecido compromisos para garantizar el avance económico y el apoyo a los objetivos de desarrollo sostenible a largo plazo </w:t>
      </w:r>
      <w:sdt>
        <w:sdtPr>
          <w:rPr>
            <w:rFonts w:ascii="Arial" w:hAnsi="Arial" w:cs="Arial"/>
          </w:rPr>
          <w:tag w:val="MENDELEY_CITATION_v3_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"/>
          <w:id w:val="771830278"/>
          <w:placeholder>
            <w:docPart w:val="D23CE55716324BFF9BB7EF61CE0C18A7"/>
          </w:placeholder>
        </w:sdtPr>
        <w:sdtContent>
          <w:r w:rsidRPr="007C356E">
            <w:rPr>
              <w:rFonts w:ascii="Arial" w:eastAsia="Times New Roman" w:hAnsi="Arial" w:cs="Arial"/>
            </w:rPr>
            <w:t>(OCDE &amp; CAF, 2020)</w:t>
          </w:r>
        </w:sdtContent>
      </w:sdt>
      <w:r w:rsidRPr="007C356E">
        <w:rPr>
          <w:rFonts w:ascii="Arial" w:hAnsi="Arial" w:cs="Arial"/>
        </w:rPr>
        <w:t>.</w:t>
      </w:r>
    </w:p>
    <w:p w14:paraId="06D68C47" w14:textId="77777777" w:rsidR="008F788F" w:rsidRPr="007C356E" w:rsidRDefault="008F788F" w:rsidP="008F788F">
      <w:pPr>
        <w:rPr>
          <w:rFonts w:ascii="Arial" w:hAnsi="Arial" w:cs="Arial"/>
          <w:color w:val="000000"/>
        </w:rPr>
      </w:pPr>
      <w:r w:rsidRPr="007C356E">
        <w:rPr>
          <w:rFonts w:ascii="Arial" w:hAnsi="Arial" w:cs="Arial"/>
        </w:rPr>
        <w:t xml:space="preserve">En Colombia, desde programas como la Banca de oportunidades, el cual permitió a los bancos brindar servicios financieros básicos a través de corresponsales bancarios, se evidenció un aumento en la incursión de dichos servicios financieros por parte de toda la población, generando la necesidad de garantizar personas preparadas en la correcta y responsable toma de decisiones financieras </w:t>
      </w:r>
      <w:sdt>
        <w:sdtPr>
          <w:rPr>
            <w:rFonts w:ascii="Arial" w:hAnsi="Arial" w:cs="Arial"/>
            <w:color w:val="000000"/>
          </w:rPr>
          <w:tag w:val="MENDELEY_CITATION_v3_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"/>
          <w:id w:val="-493184666"/>
          <w:placeholder>
            <w:docPart w:val="E81A5A4C319840C99131A389C074A705"/>
          </w:placeholder>
        </w:sdtPr>
        <w:sdtContent>
          <w:r w:rsidRPr="007C356E">
            <w:rPr>
              <w:rFonts w:ascii="Arial" w:hAnsi="Arial" w:cs="Arial"/>
              <w:color w:val="000000"/>
            </w:rPr>
            <w:t>(Reddy et al., 2013)</w:t>
          </w:r>
        </w:sdtContent>
      </w:sdt>
      <w:r w:rsidRPr="007C356E">
        <w:rPr>
          <w:rFonts w:ascii="Arial" w:hAnsi="Arial" w:cs="Arial"/>
          <w:color w:val="000000"/>
        </w:rPr>
        <w:t xml:space="preserve">. Por tal motivo, la inclusión financiera se ha convertido en un elemento básico del desarrollo socioeconómico del país, razón por la cual el Banco de la República y el Banco Mundial trabajaron en conjunto para llevar a cabo la primera encuesta de medición de capacidades financieras en Colombia, a través de la cual se evidencia que existe gran diferencia entre la conducta financiera prevista y la real. Por ejemplo, se encontró que a pesar de que el 94% de los colombianos manifestó una planificación de su presupuesto, solo el 23% conocía la </w:t>
      </w:r>
      <w:r w:rsidRPr="007C356E">
        <w:rPr>
          <w:rFonts w:ascii="Arial" w:hAnsi="Arial" w:cs="Arial"/>
          <w:color w:val="000000"/>
        </w:rPr>
        <w:t xml:space="preserve">cantidad de dinero exacta que había gastado la semana anterior. Adicionalmente, se encontró que el 45% de la población no usa productos financieros, el 72% no tiene productos de ahorro, y que los productos financieros formales llegan principalmente a la población con altas capacidades o conocimientos financieros, aun cuando se reconoce que más del 70% de los encuestados no ha recibido educación financiera </w:t>
      </w:r>
      <w:sdt>
        <w:sdtPr>
          <w:rPr>
            <w:rFonts w:ascii="Arial" w:hAnsi="Arial" w:cs="Arial"/>
            <w:color w:val="000000"/>
          </w:rPr>
          <w:tag w:val="MENDELEY_CITATION_v3_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"/>
          <w:id w:val="885521239"/>
          <w:placeholder>
            <w:docPart w:val="E81A5A4C319840C99131A389C074A705"/>
          </w:placeholder>
        </w:sdtPr>
        <w:sdtContent>
          <w:r w:rsidRPr="007C356E">
            <w:rPr>
              <w:rFonts w:ascii="Arial" w:hAnsi="Arial" w:cs="Arial"/>
              <w:color w:val="000000"/>
            </w:rPr>
            <w:t>(Reddy et al., 2013)</w:t>
          </w:r>
        </w:sdtContent>
      </w:sdt>
      <w:r w:rsidRPr="007C356E">
        <w:rPr>
          <w:rFonts w:ascii="Arial" w:hAnsi="Arial" w:cs="Arial"/>
          <w:color w:val="000000"/>
        </w:rPr>
        <w:t xml:space="preserve">. </w:t>
      </w:r>
    </w:p>
    <w:p w14:paraId="6FD03477" w14:textId="77777777" w:rsidR="008F788F" w:rsidRPr="007C356E" w:rsidRDefault="008F788F" w:rsidP="008F788F">
      <w:pPr>
        <w:rPr>
          <w:rFonts w:ascii="Arial" w:hAnsi="Arial" w:cs="Arial"/>
          <w:color w:val="000000"/>
        </w:rPr>
      </w:pPr>
      <w:r w:rsidRPr="007C356E">
        <w:rPr>
          <w:rFonts w:ascii="Arial" w:hAnsi="Arial" w:cs="Arial"/>
          <w:color w:val="000000"/>
        </w:rPr>
        <w:t xml:space="preserve">Para el año 2019, el Banco de desarrollo de américa latina y la superintendencia financiera de Colombia, llevaron a cabo el mismo estudio de medición de capacidades financieras, encontrando una disminución en el índice de educación financiera de 1,13 puntos frente a la medición realizada en el año 2013. Adicionalmente se reconoció, que la brecha de género asociada al indicador en mención para el año 2013 fue de 0,23 y para el año 2019 fue de 0,66 evidenciando un aumento de 0,43 puntos. De esta manera, una de las conclusiones a la que llegaron los encargados del estudio, fue la de encaminar esfuerzos para atender a grupos vulnerables como podrían ser las </w:t>
      </w:r>
      <w:r w:rsidRPr="007C356E">
        <w:rPr>
          <w:rFonts w:ascii="Arial" w:hAnsi="Arial" w:cs="Arial"/>
          <w:color w:val="000000"/>
        </w:rPr>
        <w:lastRenderedPageBreak/>
        <w:t xml:space="preserve">mujeres en zonas rurales y las personas de bajos niveles socioeconómicos </w:t>
      </w:r>
      <w:sdt>
        <w:sdtPr>
          <w:rPr>
            <w:rFonts w:ascii="Arial" w:hAnsi="Arial" w:cs="Arial"/>
            <w:color w:val="000000"/>
          </w:rPr>
          <w:tag w:val="MENDELEY_CITATION_v3_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"/>
          <w:id w:val="-611137497"/>
          <w:placeholder>
            <w:docPart w:val="E81A5A4C319840C99131A389C074A705"/>
          </w:placeholder>
        </w:sdtPr>
        <w:sdtContent>
          <w:r w:rsidRPr="007C356E">
            <w:rPr>
              <w:rFonts w:ascii="Arial" w:hAnsi="Arial" w:cs="Arial"/>
              <w:color w:val="000000"/>
            </w:rPr>
            <w:t>(</w:t>
          </w:r>
          <w:proofErr w:type="spellStart"/>
          <w:r w:rsidRPr="007C356E">
            <w:rPr>
              <w:rFonts w:ascii="Arial" w:hAnsi="Arial" w:cs="Arial"/>
              <w:color w:val="000000"/>
            </w:rPr>
            <w:t>Arbache</w:t>
          </w:r>
          <w:proofErr w:type="spellEnd"/>
          <w:r w:rsidRPr="007C356E">
            <w:rPr>
              <w:rFonts w:ascii="Arial" w:hAnsi="Arial" w:cs="Arial"/>
              <w:color w:val="000000"/>
            </w:rPr>
            <w:t xml:space="preserve"> et al., 2019)</w:t>
          </w:r>
        </w:sdtContent>
      </w:sdt>
      <w:r w:rsidRPr="007C356E">
        <w:rPr>
          <w:rFonts w:ascii="Arial" w:hAnsi="Arial" w:cs="Arial"/>
          <w:color w:val="000000"/>
        </w:rPr>
        <w:t>.</w:t>
      </w:r>
    </w:p>
    <w:p w14:paraId="0B66BCA4" w14:textId="43E517CD" w:rsidR="008F788F" w:rsidRPr="007C356E" w:rsidRDefault="008F788F" w:rsidP="007C356E">
      <w:pPr>
        <w:pStyle w:val="Ttulo1"/>
        <w:numPr>
          <w:ilvl w:val="0"/>
          <w:numId w:val="5"/>
        </w:numPr>
        <w:rPr>
          <w:rFonts w:ascii="Arial" w:hAnsi="Arial" w:cs="Arial"/>
          <w:b/>
          <w:bCs/>
          <w:color w:val="auto"/>
          <w:sz w:val="24"/>
          <w:szCs w:val="24"/>
        </w:rPr>
      </w:pPr>
      <w:r w:rsidRPr="007C356E">
        <w:rPr>
          <w:rFonts w:ascii="Arial" w:hAnsi="Arial" w:cs="Arial"/>
          <w:b/>
          <w:bCs/>
          <w:color w:val="auto"/>
          <w:sz w:val="24"/>
          <w:szCs w:val="24"/>
        </w:rPr>
        <w:t>Instrumento de medición</w:t>
      </w:r>
    </w:p>
    <w:p w14:paraId="3BB1BF87" w14:textId="729FBC68" w:rsidR="008F788F" w:rsidRPr="007C356E" w:rsidRDefault="008F788F" w:rsidP="008F788F">
      <w:pPr>
        <w:rPr>
          <w:rFonts w:ascii="Arial" w:hAnsi="Arial" w:cs="Arial"/>
        </w:rPr>
      </w:pPr>
      <w:r w:rsidRPr="007C356E">
        <w:rPr>
          <w:rFonts w:ascii="Arial" w:hAnsi="Arial" w:cs="Arial"/>
        </w:rPr>
        <w:t>La herramienta tiene como base los lineamientos establecidos por la OCDE, con el fin de poder hacer comparaciones futuras y</w:t>
      </w:r>
      <w:r w:rsidR="00D377EC">
        <w:rPr>
          <w:rFonts w:ascii="Arial" w:hAnsi="Arial" w:cs="Arial"/>
        </w:rPr>
        <w:t>,</w:t>
      </w:r>
      <w:r w:rsidRPr="007C356E">
        <w:rPr>
          <w:rFonts w:ascii="Arial" w:hAnsi="Arial" w:cs="Arial"/>
        </w:rPr>
        <w:t xml:space="preserve"> estuvo constituida por 28 preguntas que varían de estilo y contenido para evitar sesgos, adicionalmente se destaca, que el cuestionario alienta a los participantes a decir “no” para apartarlos de realizar conjeturas sobre la respuesta correcta. La clasificación de las preguntas se realizó de la siguiente forma: Sección sociodemográfica que consta de 7 preguntas de selección múltiple y 1 abierta, sección de autoconfianza sobre temas financieros que consta de 2 preguntas medidas a través de escala Likert, sección de actitud financiera que consta de 3 preguntas medidas a través de escala Likert, sección de comportamiento financiero que consta de 3 preguntas de escala Likert, 3 preguntas de selección múltiple y 1 dicotómica, la sección de conocimiento financiero consta de 5 preguntas de selección múltiple, la sección de manejo del dinero cuenta con 1 pregunta de </w:t>
      </w:r>
      <w:r w:rsidRPr="007C356E">
        <w:rPr>
          <w:rFonts w:ascii="Arial" w:hAnsi="Arial" w:cs="Arial"/>
        </w:rPr>
        <w:t xml:space="preserve">selección múltiple y finalmente, la sección de planificación de las finanzas cuenta con 1 pregunta dicotómica y 1 de selección múltiple. </w:t>
      </w:r>
    </w:p>
    <w:p w14:paraId="48DB1E1B" w14:textId="08304175" w:rsidR="008F788F" w:rsidRPr="00C52D3E" w:rsidRDefault="008F788F" w:rsidP="00C52D3E">
      <w:pPr>
        <w:pStyle w:val="Ttulo2"/>
        <w:numPr>
          <w:ilvl w:val="1"/>
          <w:numId w:val="5"/>
        </w:numPr>
        <w:rPr>
          <w:rFonts w:ascii="Arial" w:hAnsi="Arial" w:cs="Arial"/>
          <w:b/>
          <w:bCs/>
          <w:color w:val="auto"/>
          <w:sz w:val="24"/>
          <w:szCs w:val="24"/>
        </w:rPr>
      </w:pPr>
      <w:r w:rsidRPr="00C52D3E">
        <w:rPr>
          <w:rFonts w:ascii="Arial" w:hAnsi="Arial" w:cs="Arial"/>
          <w:b/>
          <w:bCs/>
          <w:color w:val="auto"/>
          <w:sz w:val="24"/>
          <w:szCs w:val="24"/>
        </w:rPr>
        <w:t>Técnica de muestreo y población objetivo:</w:t>
      </w:r>
    </w:p>
    <w:p w14:paraId="1E0DA411" w14:textId="5076D22B" w:rsidR="008F788F" w:rsidRPr="007C356E" w:rsidRDefault="008F788F" w:rsidP="008F788F">
      <w:pPr>
        <w:rPr>
          <w:rFonts w:ascii="Arial" w:hAnsi="Arial" w:cs="Arial"/>
        </w:rPr>
      </w:pPr>
      <w:r w:rsidRPr="007C356E">
        <w:rPr>
          <w:rFonts w:ascii="Arial" w:hAnsi="Arial" w:cs="Arial"/>
        </w:rPr>
        <w:t xml:space="preserve">La técnica de muestreo utilizada fue muestreo aleatorio simple, a través del cual cada miembro de la población tiene la misma probabilidad de ser seleccionado </w:t>
      </w:r>
      <w:sdt>
        <w:sdtPr>
          <w:rPr>
            <w:rFonts w:ascii="Arial" w:hAnsi="Arial" w:cs="Arial"/>
            <w:color w:val="000000"/>
          </w:rPr>
          <w:tag w:val="MENDELEY_CITATION_v3_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"/>
          <w:id w:val="-1710092054"/>
          <w:placeholder>
            <w:docPart w:val="373EADC8BA374D42BABCA23083727DB8"/>
          </w:placeholder>
        </w:sdtPr>
        <w:sdtContent>
          <w:r w:rsidRPr="007C356E">
            <w:rPr>
              <w:rFonts w:ascii="Arial" w:hAnsi="Arial" w:cs="Arial"/>
              <w:color w:val="000000"/>
            </w:rPr>
            <w:t>(Romo, 2003)</w:t>
          </w:r>
        </w:sdtContent>
      </w:sdt>
      <w:r w:rsidR="00871E6B" w:rsidRPr="007C356E">
        <w:rPr>
          <w:rFonts w:ascii="Arial" w:hAnsi="Arial" w:cs="Arial"/>
          <w:color w:val="000000"/>
        </w:rPr>
        <w:t xml:space="preserve">. La población objetivo fueron las </w:t>
      </w:r>
      <w:r w:rsidR="00871E6B" w:rsidRPr="007C356E">
        <w:rPr>
          <w:rFonts w:ascii="Arial" w:hAnsi="Arial" w:cs="Arial"/>
        </w:rPr>
        <w:t xml:space="preserve">134.687 mujeres que pertenecen a los estratos 1 y 2 del área metropolitana de Bucaramanga. Teniendo en cuenta lo anterior, se calculó como tamaño de la muestra un mínimo de 384 mujeres y se obtuvo un total de 399 respuestas al cuestionario previamente mencionado. </w:t>
      </w:r>
    </w:p>
    <w:p w14:paraId="79699887" w14:textId="672016D9" w:rsidR="00871E6B" w:rsidRPr="00C52D3E" w:rsidRDefault="00871E6B" w:rsidP="00C52D3E">
      <w:pPr>
        <w:pStyle w:val="Ttulo1"/>
        <w:numPr>
          <w:ilvl w:val="0"/>
          <w:numId w:val="5"/>
        </w:numPr>
        <w:rPr>
          <w:rFonts w:ascii="Arial" w:hAnsi="Arial" w:cs="Arial"/>
          <w:b/>
          <w:bCs/>
          <w:color w:val="auto"/>
          <w:sz w:val="24"/>
          <w:szCs w:val="24"/>
        </w:rPr>
      </w:pPr>
      <w:r w:rsidRPr="00C52D3E">
        <w:rPr>
          <w:rFonts w:ascii="Arial" w:hAnsi="Arial" w:cs="Arial"/>
          <w:b/>
          <w:bCs/>
          <w:color w:val="auto"/>
          <w:sz w:val="24"/>
          <w:szCs w:val="24"/>
        </w:rPr>
        <w:t>Metodología:</w:t>
      </w:r>
    </w:p>
    <w:p w14:paraId="77FE509F" w14:textId="4BF5D515" w:rsidR="00753689" w:rsidRPr="007C356E" w:rsidRDefault="00871E6B" w:rsidP="00871E6B">
      <w:pPr>
        <w:ind w:firstLine="0"/>
        <w:rPr>
          <w:rFonts w:ascii="Arial" w:hAnsi="Arial" w:cs="Arial"/>
        </w:rPr>
      </w:pPr>
      <w:r w:rsidRPr="007C356E">
        <w:rPr>
          <w:rFonts w:ascii="Arial" w:hAnsi="Arial" w:cs="Arial"/>
        </w:rPr>
        <w:t xml:space="preserve">Con el fin de cumplir los objetivos propuestos, se llevó a cabo la siguiente metodología: Se </w:t>
      </w:r>
      <w:r w:rsidR="00753689" w:rsidRPr="007C356E">
        <w:rPr>
          <w:rFonts w:ascii="Arial" w:hAnsi="Arial" w:cs="Arial"/>
        </w:rPr>
        <w:t xml:space="preserve">identificaron y analizaron las principales herramientas de alfabetización financiera a nivel internacional, se estructuró y adaptó una herramienta especializada para la recopilación de datos, se aplicó la herramienta a la muestra establecida, se clasificaron e introdujeron los datos </w:t>
      </w:r>
      <w:r w:rsidR="00753689" w:rsidRPr="007C356E">
        <w:rPr>
          <w:rFonts w:ascii="Arial" w:hAnsi="Arial" w:cs="Arial"/>
        </w:rPr>
        <w:lastRenderedPageBreak/>
        <w:t>obtenidos en el software estadístico Spss, el cual permitió la determinación del nivel de alfabetización financiera de las mujeres en condición de vulnerabilidad del AMB, logrando finalmente establecer los principales factores que afectan dicha métrica.</w:t>
      </w:r>
    </w:p>
    <w:p w14:paraId="519AF571" w14:textId="30FC5F45" w:rsidR="00A2189D" w:rsidRPr="007C356E" w:rsidRDefault="00A2189D" w:rsidP="007C356E">
      <w:pPr>
        <w:pStyle w:val="Ttulo1"/>
        <w:numPr>
          <w:ilvl w:val="0"/>
          <w:numId w:val="5"/>
        </w:numPr>
        <w:rPr>
          <w:rFonts w:ascii="Arial" w:hAnsi="Arial" w:cs="Arial"/>
          <w:b/>
          <w:bCs/>
          <w:color w:val="auto"/>
          <w:sz w:val="24"/>
          <w:szCs w:val="24"/>
        </w:rPr>
      </w:pPr>
      <w:bookmarkStart w:id="0" w:name="_Toc114399462"/>
      <w:r w:rsidRPr="007C356E">
        <w:rPr>
          <w:rFonts w:ascii="Arial" w:hAnsi="Arial" w:cs="Arial"/>
          <w:b/>
          <w:bCs/>
          <w:color w:val="auto"/>
          <w:sz w:val="24"/>
          <w:szCs w:val="24"/>
        </w:rPr>
        <w:t>Creación del puntaje de alfabetización financiera</w:t>
      </w:r>
      <w:bookmarkEnd w:id="0"/>
    </w:p>
    <w:p w14:paraId="5CDFAF55" w14:textId="77777777" w:rsidR="008451DF" w:rsidRPr="007C356E" w:rsidRDefault="008451DF" w:rsidP="008451DF">
      <w:pPr>
        <w:rPr>
          <w:rFonts w:ascii="Arial" w:hAnsi="Arial" w:cs="Arial"/>
        </w:rPr>
      </w:pPr>
    </w:p>
    <w:p w14:paraId="25AC1C75" w14:textId="77777777" w:rsidR="00A2189D" w:rsidRPr="00C52D3E" w:rsidRDefault="00A2189D" w:rsidP="00C52D3E">
      <w:pPr>
        <w:pStyle w:val="Ttulo2"/>
        <w:numPr>
          <w:ilvl w:val="1"/>
          <w:numId w:val="5"/>
        </w:numPr>
        <w:tabs>
          <w:tab w:val="num" w:pos="360"/>
        </w:tabs>
        <w:rPr>
          <w:rFonts w:ascii="Arial" w:hAnsi="Arial" w:cs="Arial"/>
          <w:b/>
          <w:bCs/>
          <w:color w:val="auto"/>
          <w:sz w:val="24"/>
          <w:szCs w:val="24"/>
        </w:rPr>
      </w:pPr>
      <w:bookmarkStart w:id="1" w:name="_Toc114399463"/>
      <w:r w:rsidRPr="00C52D3E">
        <w:rPr>
          <w:rFonts w:ascii="Arial" w:hAnsi="Arial" w:cs="Arial"/>
          <w:b/>
          <w:bCs/>
          <w:color w:val="auto"/>
          <w:sz w:val="24"/>
          <w:szCs w:val="24"/>
        </w:rPr>
        <w:t>Creación del puntaje de conocimiento financiero</w:t>
      </w:r>
      <w:bookmarkEnd w:id="1"/>
    </w:p>
    <w:p w14:paraId="56CC86A0" w14:textId="77777777" w:rsidR="00A2189D" w:rsidRPr="007C356E" w:rsidRDefault="00A2189D" w:rsidP="00A2189D">
      <w:pPr>
        <w:rPr>
          <w:rFonts w:ascii="Arial" w:hAnsi="Arial" w:cs="Arial"/>
        </w:rPr>
      </w:pPr>
      <w:r w:rsidRPr="007C356E">
        <w:rPr>
          <w:rFonts w:ascii="Arial" w:hAnsi="Arial" w:cs="Arial"/>
        </w:rPr>
        <w:t xml:space="preserve"> Este puntaje se calcula como la suma de respuestas correctas a las cinco preguntas de conocimiento financiero (La guía internacional permite que el puntaje se extienda de 0 a 7, para este caso de estudio, el valor oscila entre 0 y 5). Cada respuesta correcta a las preguntas 17,18,19 y 20 suma 1 punto, respuestas incorrectas o abstención a responder obtendrán una puntuación de 0. La pregunta 25, suma 1 punto en caso de presentar la respuesta de ahorro en cuenta de banco o ahorro en fondos de inversión, de lo contrario el puntaje será de 0.</w:t>
      </w:r>
    </w:p>
    <w:p w14:paraId="7F5584F5" w14:textId="77777777" w:rsidR="00A2189D" w:rsidRPr="00C52D3E" w:rsidRDefault="00A2189D" w:rsidP="00C52D3E">
      <w:pPr>
        <w:pStyle w:val="Ttulo2"/>
        <w:numPr>
          <w:ilvl w:val="1"/>
          <w:numId w:val="5"/>
        </w:numPr>
        <w:tabs>
          <w:tab w:val="num" w:pos="360"/>
        </w:tabs>
        <w:rPr>
          <w:rFonts w:ascii="Arial" w:hAnsi="Arial" w:cs="Arial"/>
          <w:b/>
          <w:bCs/>
          <w:color w:val="auto"/>
          <w:sz w:val="24"/>
          <w:szCs w:val="24"/>
        </w:rPr>
      </w:pPr>
      <w:bookmarkStart w:id="2" w:name="_Toc114399464"/>
      <w:r w:rsidRPr="00C52D3E">
        <w:rPr>
          <w:rFonts w:ascii="Arial" w:hAnsi="Arial" w:cs="Arial"/>
          <w:b/>
          <w:bCs/>
          <w:color w:val="auto"/>
          <w:sz w:val="24"/>
          <w:szCs w:val="24"/>
        </w:rPr>
        <w:t>Creación del puntaje de comportamiento financiero</w:t>
      </w:r>
      <w:bookmarkEnd w:id="2"/>
    </w:p>
    <w:p w14:paraId="0EDAAD3C" w14:textId="77777777" w:rsidR="00A2189D" w:rsidRPr="007C356E" w:rsidRDefault="00A2189D" w:rsidP="00A2189D">
      <w:pPr>
        <w:rPr>
          <w:rFonts w:ascii="Arial" w:hAnsi="Arial" w:cs="Arial"/>
        </w:rPr>
      </w:pPr>
      <w:r w:rsidRPr="007C356E">
        <w:rPr>
          <w:rFonts w:ascii="Arial" w:hAnsi="Arial" w:cs="Arial"/>
        </w:rPr>
        <w:t xml:space="preserve"> El puntaje de comportamiento se calcula como la suma del número de comportamientos “financieramente informados” relacionados con el ahorro activo, el planteamiento y esfuerzo por alcanzar objetivos financieros, la realización de compras meditadas, el pago oportuno de facturas y evitando préstamos para llegar a fin de mes (La guía internacional permite que el puntaje se extienda de 0 a 9, para este caso de estudio, el valor oscila entre 0 y 5). Ante las preguntas 21,22,23 y 26, las respuestas entre 1 y 2 puntúan como 1, las opciones restantes puntúan como 0; para el caso de la pregunta 24, si la respuesta es que la persona ahorró algo de dinero en los últimos seis meses sumará 1 punto, si no lo hizo, puntuará como 0 en el cálculo.</w:t>
      </w:r>
    </w:p>
    <w:p w14:paraId="76347E95" w14:textId="77777777" w:rsidR="00A2189D" w:rsidRPr="00C52D3E" w:rsidRDefault="00A2189D" w:rsidP="00C52D3E">
      <w:pPr>
        <w:pStyle w:val="Ttulo2"/>
        <w:numPr>
          <w:ilvl w:val="1"/>
          <w:numId w:val="5"/>
        </w:numPr>
        <w:tabs>
          <w:tab w:val="num" w:pos="360"/>
        </w:tabs>
        <w:rPr>
          <w:rFonts w:ascii="Arial" w:hAnsi="Arial" w:cs="Arial"/>
          <w:b/>
          <w:bCs/>
          <w:color w:val="auto"/>
          <w:sz w:val="24"/>
          <w:szCs w:val="24"/>
        </w:rPr>
      </w:pPr>
      <w:bookmarkStart w:id="3" w:name="_Toc114399465"/>
      <w:r w:rsidRPr="00C52D3E">
        <w:rPr>
          <w:rFonts w:ascii="Arial" w:hAnsi="Arial" w:cs="Arial"/>
          <w:b/>
          <w:bCs/>
          <w:color w:val="auto"/>
          <w:sz w:val="24"/>
          <w:szCs w:val="24"/>
        </w:rPr>
        <w:t>Creación del puntaje de actitudes financieras</w:t>
      </w:r>
      <w:bookmarkEnd w:id="3"/>
      <w:r w:rsidRPr="00C52D3E">
        <w:rPr>
          <w:rFonts w:ascii="Arial" w:hAnsi="Arial" w:cs="Arial"/>
          <w:b/>
          <w:bCs/>
          <w:color w:val="auto"/>
          <w:sz w:val="24"/>
          <w:szCs w:val="24"/>
        </w:rPr>
        <w:t xml:space="preserve"> </w:t>
      </w:r>
    </w:p>
    <w:p w14:paraId="686DA68A" w14:textId="291CD341" w:rsidR="00A2189D" w:rsidRPr="007C356E" w:rsidRDefault="00A2189D" w:rsidP="008B73DF">
      <w:pPr>
        <w:rPr>
          <w:rFonts w:ascii="Arial" w:hAnsi="Arial" w:cs="Arial"/>
        </w:rPr>
      </w:pPr>
      <w:r w:rsidRPr="007C356E">
        <w:rPr>
          <w:rFonts w:ascii="Arial" w:hAnsi="Arial" w:cs="Arial"/>
        </w:rPr>
        <w:t xml:space="preserve">El puntaje de actitud financiera se calcula como la respuesta promedio en tres preguntas de actitud (la suma de los valores para las tres afirmaciones dividido entre tres). Se tendrán en cuenta la pregunta 14, 15 y 16, con opciones de respuesta de 1 a 5 para cada una, por tal </w:t>
      </w:r>
      <w:r w:rsidRPr="007C356E">
        <w:rPr>
          <w:rFonts w:ascii="Arial" w:hAnsi="Arial" w:cs="Arial"/>
        </w:rPr>
        <w:lastRenderedPageBreak/>
        <w:t>motivo la puntuación oscilará entre dichos números.</w:t>
      </w:r>
    </w:p>
    <w:p w14:paraId="53BD34C5" w14:textId="25C43660" w:rsidR="00753689" w:rsidRPr="007C356E" w:rsidRDefault="00753689" w:rsidP="00C52D3E">
      <w:pPr>
        <w:pStyle w:val="Ttulo1"/>
        <w:ind w:firstLine="0"/>
        <w:rPr>
          <w:rFonts w:ascii="Arial" w:hAnsi="Arial" w:cs="Arial"/>
          <w:b/>
          <w:bCs/>
          <w:color w:val="auto"/>
          <w:sz w:val="24"/>
          <w:szCs w:val="24"/>
        </w:rPr>
      </w:pPr>
      <w:r w:rsidRPr="007C356E">
        <w:rPr>
          <w:rFonts w:ascii="Arial" w:hAnsi="Arial" w:cs="Arial"/>
          <w:b/>
          <w:bCs/>
          <w:color w:val="auto"/>
          <w:sz w:val="24"/>
          <w:szCs w:val="24"/>
        </w:rPr>
        <w:t>Resultados:</w:t>
      </w:r>
    </w:p>
    <w:p w14:paraId="1C9E4DE6" w14:textId="6EBE0CE7" w:rsidR="00753689" w:rsidRPr="00C52D3E" w:rsidRDefault="00D377EC" w:rsidP="00C52D3E">
      <w:pPr>
        <w:pStyle w:val="Ttulo1"/>
        <w:numPr>
          <w:ilvl w:val="0"/>
          <w:numId w:val="5"/>
        </w:numPr>
        <w:rPr>
          <w:rFonts w:ascii="Arial" w:hAnsi="Arial" w:cs="Arial"/>
          <w:b/>
          <w:bCs/>
          <w:color w:val="auto"/>
          <w:sz w:val="24"/>
          <w:szCs w:val="24"/>
        </w:rPr>
      </w:pPr>
      <w:bookmarkStart w:id="4" w:name="_Toc114399466"/>
      <w:r w:rsidRPr="00C52D3E">
        <w:rPr>
          <w:rFonts w:ascii="Arial" w:hAnsi="Arial" w:cs="Arial"/>
          <w:b/>
          <w:bCs/>
          <w:noProof/>
          <w:color w:val="auto"/>
          <w:sz w:val="24"/>
          <w:szCs w:val="24"/>
        </w:rPr>
        <w:drawing>
          <wp:anchor distT="0" distB="0" distL="114300" distR="114300" simplePos="0" relativeHeight="251679744" behindDoc="0" locked="0" layoutInCell="1" allowOverlap="1" wp14:anchorId="78C49E34" wp14:editId="172DB906">
            <wp:simplePos x="0" y="0"/>
            <wp:positionH relativeFrom="column">
              <wp:posOffset>-281940</wp:posOffset>
            </wp:positionH>
            <wp:positionV relativeFrom="paragraph">
              <wp:posOffset>1444625</wp:posOffset>
            </wp:positionV>
            <wp:extent cx="3028950" cy="1876425"/>
            <wp:effectExtent l="0" t="0" r="0" b="9525"/>
            <wp:wrapSquare wrapText="bothSides"/>
            <wp:docPr id="41" name="Gráfico 41">
              <a:extLst xmlns:a="http://schemas.openxmlformats.org/drawingml/2006/main">
                <a:ext uri="{FF2B5EF4-FFF2-40B4-BE49-F238E27FC236}">
                  <a16:creationId xmlns:a16="http://schemas.microsoft.com/office/drawing/2014/main" id="{4DCE915E-FB4E-0CD3-6B61-91CB9BF3CCD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14:sizeRelH relativeFrom="margin">
              <wp14:pctWidth>0</wp14:pctWidth>
            </wp14:sizeRelH>
            <wp14:sizeRelV relativeFrom="margin">
              <wp14:pctHeight>0</wp14:pctHeight>
            </wp14:sizeRelV>
          </wp:anchor>
        </w:drawing>
      </w:r>
      <w:r w:rsidR="00DD4DC6" w:rsidRPr="00C52D3E">
        <w:rPr>
          <w:rFonts w:ascii="Arial" w:hAnsi="Arial" w:cs="Arial"/>
          <w:b/>
          <w:bCs/>
          <w:noProof/>
          <w:color w:val="auto"/>
          <w:sz w:val="24"/>
          <w:szCs w:val="24"/>
        </w:rPr>
        <mc:AlternateContent>
          <mc:Choice Requires="wps">
            <w:drawing>
              <wp:anchor distT="0" distB="0" distL="114300" distR="114300" simplePos="0" relativeHeight="251694080" behindDoc="0" locked="0" layoutInCell="1" allowOverlap="1" wp14:anchorId="3DBCCABF" wp14:editId="0C01F2EE">
                <wp:simplePos x="0" y="0"/>
                <wp:positionH relativeFrom="column">
                  <wp:posOffset>-281940</wp:posOffset>
                </wp:positionH>
                <wp:positionV relativeFrom="paragraph">
                  <wp:posOffset>1248410</wp:posOffset>
                </wp:positionV>
                <wp:extent cx="3028950" cy="190500"/>
                <wp:effectExtent l="0" t="0" r="0" b="0"/>
                <wp:wrapSquare wrapText="bothSides"/>
                <wp:docPr id="3" name="Cuadro de texto 3"/>
                <wp:cNvGraphicFramePr/>
                <a:graphic xmlns:a="http://schemas.openxmlformats.org/drawingml/2006/main">
                  <a:graphicData uri="http://schemas.microsoft.com/office/word/2010/wordprocessingShape">
                    <wps:wsp>
                      <wps:cNvSpPr txBox="1"/>
                      <wps:spPr>
                        <a:xfrm>
                          <a:off x="0" y="0"/>
                          <a:ext cx="3028950" cy="190500"/>
                        </a:xfrm>
                        <a:prstGeom prst="rect">
                          <a:avLst/>
                        </a:prstGeom>
                        <a:solidFill>
                          <a:prstClr val="white"/>
                        </a:solidFill>
                        <a:ln>
                          <a:noFill/>
                        </a:ln>
                      </wps:spPr>
                      <wps:txbx>
                        <w:txbxContent>
                          <w:p w14:paraId="28ACF7DE" w14:textId="673433C2" w:rsidR="008451DF" w:rsidRPr="00C4435F" w:rsidRDefault="008451DF" w:rsidP="008451DF">
                            <w:pPr>
                              <w:pStyle w:val="Descripcin"/>
                              <w:rPr>
                                <w:noProof/>
                                <w:sz w:val="24"/>
                                <w:szCs w:val="24"/>
                              </w:rPr>
                            </w:pPr>
                            <w:r>
                              <w:t>Figura</w:t>
                            </w:r>
                            <w:r w:rsidR="00892BDC">
                              <w:t xml:space="preserve"> II</w:t>
                            </w:r>
                            <w:r>
                              <w:t>:</w:t>
                            </w:r>
                            <w:r w:rsidR="00892BDC">
                              <w:t xml:space="preserve"> </w:t>
                            </w:r>
                            <w:r>
                              <w:t>Nivel de alfabetización financiera</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DBCCABF" id="Cuadro de texto 3" o:spid="_x0000_s1028" type="#_x0000_t202" style="position:absolute;left:0;text-align:left;margin-left:-22.2pt;margin-top:98.3pt;width:238.5pt;height:15pt;z-index:251694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" stroked="f">
                <v:textbox inset="0,0,0,0">
                  <w:txbxContent>
                    <w:p w14:paraId="28ACF7DE" w14:textId="673433C2" w:rsidR="008451DF" w:rsidRPr="00C4435F" w:rsidRDefault="008451DF" w:rsidP="008451DF">
                      <w:pPr>
                        <w:pStyle w:val="Descripcin"/>
                        <w:rPr>
                          <w:noProof/>
                          <w:sz w:val="24"/>
                          <w:szCs w:val="24"/>
                        </w:rPr>
                      </w:pPr>
                      <w:r>
                        <w:t>Figura</w:t>
                      </w:r>
                      <w:r w:rsidR="00892BDC">
                        <w:t xml:space="preserve"> II</w:t>
                      </w:r>
                      <w:r>
                        <w:t>:</w:t>
                      </w:r>
                      <w:r w:rsidR="00892BDC">
                        <w:t xml:space="preserve"> </w:t>
                      </w:r>
                      <w:r>
                        <w:t>Nivel de alfabetización financiera</w:t>
                      </w:r>
                    </w:p>
                  </w:txbxContent>
                </v:textbox>
                <w10:wrap type="square"/>
              </v:shape>
            </w:pict>
          </mc:Fallback>
        </mc:AlternateContent>
      </w:r>
      <w:r w:rsidR="00A2189D" w:rsidRPr="00C52D3E">
        <w:rPr>
          <w:rFonts w:ascii="Arial" w:hAnsi="Arial" w:cs="Arial"/>
          <w:b/>
          <w:bCs/>
          <w:color w:val="auto"/>
          <w:sz w:val="24"/>
          <w:szCs w:val="24"/>
        </w:rPr>
        <w:t xml:space="preserve"> </w:t>
      </w:r>
      <w:r w:rsidR="00753689" w:rsidRPr="00C52D3E">
        <w:rPr>
          <w:rFonts w:ascii="Arial" w:hAnsi="Arial" w:cs="Arial"/>
          <w:b/>
          <w:bCs/>
          <w:color w:val="auto"/>
          <w:sz w:val="24"/>
          <w:szCs w:val="24"/>
        </w:rPr>
        <w:t>Nivel de alfabetización financiera de mujeres en condición de vulnerabilidad del AMB</w:t>
      </w:r>
      <w:bookmarkEnd w:id="4"/>
    </w:p>
    <w:p w14:paraId="53C7D02B" w14:textId="77777777" w:rsidR="00936B0C" w:rsidRPr="007C356E" w:rsidRDefault="00936B0C" w:rsidP="008451DF">
      <w:pPr>
        <w:ind w:firstLine="0"/>
        <w:rPr>
          <w:rFonts w:ascii="Arial" w:hAnsi="Arial" w:cs="Arial"/>
        </w:rPr>
      </w:pPr>
    </w:p>
    <w:p w14:paraId="318F72CF" w14:textId="77777777" w:rsidR="00892BDC" w:rsidRDefault="00892BDC" w:rsidP="00753689">
      <w:pPr>
        <w:rPr>
          <w:rFonts w:ascii="Arial" w:hAnsi="Arial" w:cs="Arial"/>
        </w:rPr>
      </w:pPr>
    </w:p>
    <w:p w14:paraId="46F52A39" w14:textId="762CD90B" w:rsidR="00753689" w:rsidRPr="007C356E" w:rsidRDefault="00753689" w:rsidP="00753689">
      <w:pPr>
        <w:rPr>
          <w:rFonts w:ascii="Arial" w:hAnsi="Arial" w:cs="Arial"/>
        </w:rPr>
      </w:pPr>
      <w:r w:rsidRPr="007C356E">
        <w:rPr>
          <w:rFonts w:ascii="Arial" w:hAnsi="Arial" w:cs="Arial"/>
        </w:rPr>
        <w:t>El puntaje general de alfabetización financiera obtenido por las mujeres en condición de vulnerabilidad del AMB en promedio fue de 10,05 de 15 puntos posibles (</w:t>
      </w:r>
      <w:r w:rsidRPr="00D377EC">
        <w:rPr>
          <w:rFonts w:ascii="Arial" w:hAnsi="Arial" w:cs="Arial"/>
          <w:i/>
          <w:iCs/>
        </w:rPr>
        <w:t xml:space="preserve">ver figura </w:t>
      </w:r>
      <w:r w:rsidR="00892BDC">
        <w:rPr>
          <w:rFonts w:ascii="Arial" w:hAnsi="Arial" w:cs="Arial"/>
          <w:i/>
          <w:iCs/>
        </w:rPr>
        <w:t>II</w:t>
      </w:r>
      <w:r w:rsidRPr="007C356E">
        <w:rPr>
          <w:rFonts w:ascii="Arial" w:hAnsi="Arial" w:cs="Arial"/>
        </w:rPr>
        <w:t xml:space="preserve">), es decir, un 67% del puntaje máximo de alfabetización financiera, implicando que dichas mujeres presentan una concepción básica de los conocimientos, actitudes y comportamientos financieros prudentes </w:t>
      </w:r>
      <w:sdt>
        <w:sdtPr>
          <w:rPr>
            <w:rFonts w:ascii="Arial" w:hAnsi="Arial" w:cs="Arial"/>
            <w:color w:val="000000"/>
          </w:rPr>
          <w:tag w:val="MENDELEY_CITATION_v3_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"/>
          <w:id w:val="-566728170"/>
          <w:placeholder>
            <w:docPart w:val="983E28D104E7405C8BC94B5C7553A0A6"/>
          </w:placeholder>
        </w:sdtPr>
        <w:sdtContent>
          <w:r w:rsidRPr="007C356E">
            <w:rPr>
              <w:rFonts w:ascii="Arial" w:hAnsi="Arial" w:cs="Arial"/>
              <w:color w:val="000000"/>
            </w:rPr>
            <w:t>(OCDE, 2020)</w:t>
          </w:r>
        </w:sdtContent>
      </w:sdt>
      <w:r w:rsidRPr="007C356E">
        <w:rPr>
          <w:rFonts w:ascii="Arial" w:hAnsi="Arial" w:cs="Arial"/>
        </w:rPr>
        <w:t xml:space="preserve">. Adicionalmente, se estableció una ponderación para los resultados en una escala de Muy bueno (la obtención del </w:t>
      </w:r>
      <w:r w:rsidRPr="007C356E">
        <w:rPr>
          <w:rFonts w:ascii="Arial" w:hAnsi="Arial" w:cs="Arial"/>
        </w:rPr>
        <w:t>puntaje máximo (5) para cada componente), Bueno (4 puntos), Regular (3 puntos), Malo (2 puntos) y, Muy malo (1), sin embargo, se presenta una salvedad para el análisis de conocimiento financiero donde hubo puntuaciones de 0.</w:t>
      </w:r>
    </w:p>
    <w:p w14:paraId="3DD5B231" w14:textId="70B25C40" w:rsidR="00753689" w:rsidRPr="007C356E" w:rsidRDefault="00753689" w:rsidP="00DD4DC6">
      <w:pPr>
        <w:autoSpaceDE w:val="0"/>
        <w:autoSpaceDN w:val="0"/>
        <w:adjustRightInd w:val="0"/>
        <w:spacing w:after="0"/>
        <w:ind w:firstLine="0"/>
        <w:rPr>
          <w:rFonts w:ascii="Arial" w:hAnsi="Arial" w:cs="Arial"/>
        </w:rPr>
      </w:pPr>
      <w:r w:rsidRPr="007C356E">
        <w:rPr>
          <w:rFonts w:ascii="Arial" w:hAnsi="Arial" w:cs="Arial"/>
        </w:rPr>
        <w:t>El puntaje promedio de conocimiento fue de 2,39 de 5 puntos posibles, siendo el más bajo de todos los elementos del indicador. 39 de las 399 mujeres encuestadas tuvo una puntuación nula, es decir, no tienen ningún tipo de conocimiento financiero. También se destaca que menos del 25% de las mujeres respondió más de 3 preguntas correctas y, en términos generales esta métrica se ve mayormente afectada por el desconocimiento en temas de ahorro e inversión.</w:t>
      </w:r>
    </w:p>
    <w:p w14:paraId="4A21E109" w14:textId="64E23C9E" w:rsidR="00753689" w:rsidRPr="007C356E" w:rsidRDefault="00753689" w:rsidP="00753689">
      <w:pPr>
        <w:autoSpaceDE w:val="0"/>
        <w:autoSpaceDN w:val="0"/>
        <w:adjustRightInd w:val="0"/>
        <w:spacing w:after="0" w:line="240" w:lineRule="auto"/>
        <w:rPr>
          <w:rFonts w:ascii="Arial" w:hAnsi="Arial" w:cs="Arial"/>
        </w:rPr>
      </w:pPr>
    </w:p>
    <w:p w14:paraId="20BBDCC5" w14:textId="058A0674" w:rsidR="00753689" w:rsidRPr="007C356E" w:rsidRDefault="00753689" w:rsidP="00DD4DC6">
      <w:pPr>
        <w:autoSpaceDE w:val="0"/>
        <w:autoSpaceDN w:val="0"/>
        <w:adjustRightInd w:val="0"/>
        <w:spacing w:after="0"/>
        <w:rPr>
          <w:rFonts w:ascii="Arial" w:hAnsi="Arial" w:cs="Arial"/>
        </w:rPr>
      </w:pPr>
      <w:r w:rsidRPr="007C356E">
        <w:rPr>
          <w:rFonts w:ascii="Arial" w:hAnsi="Arial" w:cs="Arial"/>
        </w:rPr>
        <w:t xml:space="preserve">Para el caso del comportamiento financiero, el puntaje promedio obtenido por las mujeres fue de 4,39 de 5 puntos posibles, representando un 87,8% del puntaje máximo, es decir, en términos generales las mujeres presentan un comportamiento responsable frente a los escenarios descritos en la encuesta. Los comportamientos financieramente informados mayormente adoptados por </w:t>
      </w:r>
      <w:r w:rsidRPr="007C356E">
        <w:rPr>
          <w:rFonts w:ascii="Arial" w:hAnsi="Arial" w:cs="Arial"/>
        </w:rPr>
        <w:lastRenderedPageBreak/>
        <w:t>las mujeres encuestadas, hacen referencia a la realización de compras meditadas, el pago oportuno de sus obligaciones financieras y la gran intención de ahorro.</w:t>
      </w:r>
    </w:p>
    <w:p w14:paraId="55A0C662" w14:textId="413E1767" w:rsidR="00753689" w:rsidRPr="007C356E" w:rsidRDefault="00753689" w:rsidP="00D377EC">
      <w:pPr>
        <w:autoSpaceDE w:val="0"/>
        <w:autoSpaceDN w:val="0"/>
        <w:adjustRightInd w:val="0"/>
        <w:spacing w:after="0"/>
        <w:rPr>
          <w:rFonts w:ascii="Arial" w:hAnsi="Arial" w:cs="Arial"/>
        </w:rPr>
      </w:pPr>
      <w:r w:rsidRPr="007C356E">
        <w:rPr>
          <w:rFonts w:ascii="Arial" w:hAnsi="Arial" w:cs="Arial"/>
        </w:rPr>
        <w:t xml:space="preserve">Finalmente, para el caso de actitud financiera, el puntaje promedio obtenido por las mujeres fue de 3,8 de 5 puntos posibles, siendo el desconocimiento y falta de interés por el uso de las nuevas tecnologías transaccionales el factor que afectó mayormente la tendencia negativa del indicador. </w:t>
      </w:r>
    </w:p>
    <w:p w14:paraId="4837B082" w14:textId="77777777" w:rsidR="00753689" w:rsidRPr="007C356E" w:rsidRDefault="00753689" w:rsidP="00DD4DC6">
      <w:pPr>
        <w:autoSpaceDE w:val="0"/>
        <w:autoSpaceDN w:val="0"/>
        <w:adjustRightInd w:val="0"/>
        <w:spacing w:after="0" w:line="400" w:lineRule="atLeast"/>
        <w:ind w:firstLine="0"/>
        <w:rPr>
          <w:rFonts w:ascii="Arial" w:hAnsi="Arial" w:cs="Arial"/>
        </w:rPr>
      </w:pPr>
    </w:p>
    <w:p w14:paraId="694D930A" w14:textId="77777777" w:rsidR="00A2189D" w:rsidRPr="007C356E" w:rsidRDefault="00A2189D" w:rsidP="00C52D3E">
      <w:pPr>
        <w:pStyle w:val="Ttulo1"/>
        <w:numPr>
          <w:ilvl w:val="0"/>
          <w:numId w:val="5"/>
        </w:numPr>
        <w:rPr>
          <w:rFonts w:ascii="Arial" w:hAnsi="Arial" w:cs="Arial"/>
          <w:b/>
          <w:bCs/>
          <w:color w:val="auto"/>
          <w:sz w:val="24"/>
          <w:szCs w:val="24"/>
        </w:rPr>
      </w:pPr>
      <w:bookmarkStart w:id="5" w:name="_Toc114399479"/>
      <w:r w:rsidRPr="007C356E">
        <w:rPr>
          <w:rFonts w:ascii="Arial" w:hAnsi="Arial" w:cs="Arial"/>
          <w:b/>
          <w:bCs/>
          <w:color w:val="auto"/>
          <w:sz w:val="24"/>
          <w:szCs w:val="24"/>
        </w:rPr>
        <w:t>Determinación de factores que inciden en la alfabetización financiera de mujeres en condición de vulnerabilidad del AMB</w:t>
      </w:r>
      <w:bookmarkEnd w:id="5"/>
    </w:p>
    <w:p w14:paraId="600EE6FC" w14:textId="77777777" w:rsidR="00A2189D" w:rsidRPr="007C356E" w:rsidRDefault="00A2189D" w:rsidP="00A2189D">
      <w:pPr>
        <w:spacing w:after="0" w:line="240" w:lineRule="auto"/>
        <w:rPr>
          <w:rFonts w:ascii="Arial" w:hAnsi="Arial" w:cs="Arial"/>
          <w:b/>
          <w:bCs w:val="0"/>
        </w:rPr>
      </w:pPr>
    </w:p>
    <w:p w14:paraId="36C03128" w14:textId="1836202B" w:rsidR="00A2189D" w:rsidRPr="007C356E" w:rsidRDefault="00A2189D" w:rsidP="00A2189D">
      <w:pPr>
        <w:rPr>
          <w:rFonts w:ascii="Arial" w:hAnsi="Arial" w:cs="Arial"/>
        </w:rPr>
      </w:pPr>
      <w:r w:rsidRPr="007C356E">
        <w:rPr>
          <w:rFonts w:ascii="Arial" w:hAnsi="Arial" w:cs="Arial"/>
        </w:rPr>
        <w:t>A través del análisis descripti</w:t>
      </w:r>
      <w:r w:rsidR="00D377EC">
        <w:rPr>
          <w:rFonts w:ascii="Arial" w:hAnsi="Arial" w:cs="Arial"/>
        </w:rPr>
        <w:t>v</w:t>
      </w:r>
      <w:r w:rsidRPr="007C356E">
        <w:rPr>
          <w:rFonts w:ascii="Arial" w:hAnsi="Arial" w:cs="Arial"/>
        </w:rPr>
        <w:t>o mediante tablas cruzadas, se determinó para cada uno de los componentes de la alfabetización financiera las variables que influían en su resultado como se muestra a continuación:</w:t>
      </w:r>
    </w:p>
    <w:p w14:paraId="062A9CAF" w14:textId="77777777" w:rsidR="00A2189D" w:rsidRPr="007C356E" w:rsidRDefault="00A2189D" w:rsidP="00C52D3E">
      <w:pPr>
        <w:pStyle w:val="Ttulo2"/>
        <w:numPr>
          <w:ilvl w:val="1"/>
          <w:numId w:val="5"/>
        </w:numPr>
        <w:tabs>
          <w:tab w:val="num" w:pos="360"/>
        </w:tabs>
        <w:rPr>
          <w:rFonts w:ascii="Arial" w:hAnsi="Arial" w:cs="Arial"/>
          <w:b/>
          <w:bCs/>
          <w:color w:val="auto"/>
          <w:sz w:val="24"/>
          <w:szCs w:val="24"/>
        </w:rPr>
      </w:pPr>
      <w:bookmarkStart w:id="6" w:name="_Toc114399480"/>
      <w:r w:rsidRPr="00C52D3E">
        <w:rPr>
          <w:rFonts w:ascii="Arial" w:hAnsi="Arial" w:cs="Arial"/>
          <w:b/>
          <w:bCs/>
          <w:color w:val="auto"/>
          <w:sz w:val="24"/>
          <w:szCs w:val="24"/>
        </w:rPr>
        <w:t>Conocimiento Financiero</w:t>
      </w:r>
      <w:bookmarkEnd w:id="6"/>
    </w:p>
    <w:p w14:paraId="2BC98E30" w14:textId="06479834" w:rsidR="00A2189D" w:rsidRPr="00C52D3E" w:rsidRDefault="00A2189D" w:rsidP="00C52D3E">
      <w:pPr>
        <w:pStyle w:val="Ttulo3"/>
        <w:numPr>
          <w:ilvl w:val="2"/>
          <w:numId w:val="5"/>
        </w:numPr>
        <w:rPr>
          <w:rFonts w:ascii="Arial" w:hAnsi="Arial" w:cs="Arial"/>
          <w:b/>
          <w:color w:val="auto"/>
        </w:rPr>
      </w:pPr>
      <w:bookmarkStart w:id="7" w:name="_Toc114399481"/>
      <w:r w:rsidRPr="00C52D3E">
        <w:rPr>
          <w:rStyle w:val="Ttulo3Car"/>
          <w:rFonts w:ascii="Arial" w:hAnsi="Arial" w:cs="Arial"/>
          <w:b/>
          <w:color w:val="auto"/>
        </w:rPr>
        <w:t>Edad</w:t>
      </w:r>
      <w:bookmarkEnd w:id="7"/>
      <w:r w:rsidRPr="00C52D3E">
        <w:rPr>
          <w:rFonts w:ascii="Arial" w:hAnsi="Arial" w:cs="Arial"/>
          <w:b/>
          <w:color w:val="auto"/>
        </w:rPr>
        <w:t xml:space="preserve">: </w:t>
      </w:r>
    </w:p>
    <w:p w14:paraId="6E608C25" w14:textId="77777777" w:rsidR="00A2189D" w:rsidRPr="007C356E" w:rsidRDefault="00A2189D" w:rsidP="00A2189D">
      <w:pPr>
        <w:rPr>
          <w:rFonts w:ascii="Arial" w:hAnsi="Arial" w:cs="Arial"/>
        </w:rPr>
      </w:pPr>
      <w:r w:rsidRPr="007C356E">
        <w:rPr>
          <w:rFonts w:ascii="Arial" w:hAnsi="Arial" w:cs="Arial"/>
        </w:rPr>
        <w:t xml:space="preserve">De las mujeres pertenecientes al rango etario de 20 a 29 años, el 58,47% </w:t>
      </w:r>
      <w:r w:rsidRPr="007C356E">
        <w:rPr>
          <w:rFonts w:ascii="Arial" w:hAnsi="Arial" w:cs="Arial"/>
        </w:rPr>
        <w:t>respondió al menos tres preguntas de manera correcta, sin embargo, para el resto de las edades se evidenció que más del 60% para cada uno de los rangos, contestó dos o menos preguntas de manera correcta.</w:t>
      </w:r>
    </w:p>
    <w:p w14:paraId="08ED56F0" w14:textId="77777777" w:rsidR="00A2189D" w:rsidRPr="00C52D3E" w:rsidRDefault="00A2189D" w:rsidP="00C52D3E">
      <w:pPr>
        <w:pStyle w:val="Ttulo3"/>
        <w:numPr>
          <w:ilvl w:val="2"/>
          <w:numId w:val="5"/>
        </w:numPr>
        <w:rPr>
          <w:rStyle w:val="Ttulo3Car"/>
          <w:rFonts w:ascii="Arial" w:hAnsi="Arial" w:cs="Arial"/>
          <w:b/>
          <w:color w:val="auto"/>
        </w:rPr>
      </w:pPr>
      <w:bookmarkStart w:id="8" w:name="_Toc114399482"/>
      <w:r w:rsidRPr="007C356E">
        <w:rPr>
          <w:rStyle w:val="Ttulo3Car"/>
          <w:rFonts w:ascii="Arial" w:hAnsi="Arial" w:cs="Arial"/>
          <w:b/>
          <w:color w:val="auto"/>
        </w:rPr>
        <w:t>Número de hijos:</w:t>
      </w:r>
      <w:bookmarkEnd w:id="8"/>
      <w:r w:rsidRPr="00C52D3E">
        <w:rPr>
          <w:rStyle w:val="Ttulo3Car"/>
          <w:rFonts w:ascii="Arial" w:hAnsi="Arial" w:cs="Arial"/>
          <w:b/>
          <w:color w:val="auto"/>
        </w:rPr>
        <w:t xml:space="preserve"> </w:t>
      </w:r>
    </w:p>
    <w:p w14:paraId="142CF375" w14:textId="77777777" w:rsidR="00A2189D" w:rsidRPr="007C356E" w:rsidRDefault="00A2189D" w:rsidP="00A2189D">
      <w:pPr>
        <w:rPr>
          <w:rFonts w:ascii="Arial" w:hAnsi="Arial" w:cs="Arial"/>
        </w:rPr>
      </w:pPr>
      <w:r w:rsidRPr="007C356E">
        <w:rPr>
          <w:rFonts w:ascii="Arial" w:hAnsi="Arial" w:cs="Arial"/>
        </w:rPr>
        <w:t>A través de este cruce de variables, se logró determinar que, a partir de los 3 hijos, para cada una de las siguientes categorías (4 hijos y 5 o más hijos), más del 73% de las mujeres presentó un desempeño malo o inferior.</w:t>
      </w:r>
    </w:p>
    <w:p w14:paraId="1B8480CF" w14:textId="77777777" w:rsidR="00A2189D" w:rsidRPr="00C52D3E" w:rsidRDefault="00A2189D" w:rsidP="00C52D3E">
      <w:pPr>
        <w:pStyle w:val="Ttulo3"/>
        <w:numPr>
          <w:ilvl w:val="2"/>
          <w:numId w:val="5"/>
        </w:numPr>
        <w:rPr>
          <w:rStyle w:val="Ttulo3Car"/>
          <w:rFonts w:ascii="Arial" w:hAnsi="Arial" w:cs="Arial"/>
          <w:b/>
          <w:color w:val="auto"/>
        </w:rPr>
      </w:pPr>
      <w:bookmarkStart w:id="9" w:name="_Toc114399483"/>
      <w:r w:rsidRPr="007C356E">
        <w:rPr>
          <w:rStyle w:val="Ttulo3Car"/>
          <w:rFonts w:ascii="Arial" w:hAnsi="Arial" w:cs="Arial"/>
          <w:b/>
          <w:color w:val="auto"/>
        </w:rPr>
        <w:t>Mayor nivel de escolaridad alcanzado:</w:t>
      </w:r>
      <w:bookmarkEnd w:id="9"/>
      <w:r w:rsidRPr="00C52D3E">
        <w:rPr>
          <w:rStyle w:val="Ttulo3Car"/>
          <w:rFonts w:ascii="Arial" w:hAnsi="Arial" w:cs="Arial"/>
          <w:b/>
          <w:color w:val="auto"/>
        </w:rPr>
        <w:t xml:space="preserve"> </w:t>
      </w:r>
    </w:p>
    <w:p w14:paraId="454E4C9B" w14:textId="77777777" w:rsidR="00A2189D" w:rsidRPr="007C356E" w:rsidRDefault="00A2189D" w:rsidP="00A2189D">
      <w:pPr>
        <w:rPr>
          <w:rFonts w:ascii="Arial" w:hAnsi="Arial" w:cs="Arial"/>
        </w:rPr>
      </w:pPr>
      <w:r w:rsidRPr="007C356E">
        <w:rPr>
          <w:rFonts w:ascii="Arial" w:hAnsi="Arial" w:cs="Arial"/>
        </w:rPr>
        <w:t xml:space="preserve">Se determinó que para la población universitaria el 47,74% de las mujeres se encuentran en un nivel de conocimiento malo o inferior, mientras que el 28,82% evidencian un puntaje bueno o superior; para el caso de las mujeres que tienen título de bachiller, el 49,04% de ellas presenta puntajes malos o muy malos, mientras que solo el 25,47% reflejan desempeños altos o superiores; en cuanto a la población que solo llegó a completar secundaria, el 55,88% de ellas presenta puntajes bajos o inferiores, mientras que solo el 16,17% se encuentra en las escalas superiores; </w:t>
      </w:r>
      <w:r w:rsidRPr="007C356E">
        <w:rPr>
          <w:rFonts w:ascii="Arial" w:hAnsi="Arial" w:cs="Arial"/>
        </w:rPr>
        <w:lastRenderedPageBreak/>
        <w:t xml:space="preserve">respecto a las mujeres que completaron primaria, el 63,88% de ellas alcanza como máximo dos respuestas correctas y, solo el 19,44% respondieron 4 o 5 preguntas de manera correcta; finalmente, de aquellas que no tuvieron acceso a educación formal, el 86,95% presenta puntajes malos o muy malos y, solo el 8,69% presenta mínimamente un buen desempeño para este indicador. </w:t>
      </w:r>
    </w:p>
    <w:p w14:paraId="67DDB41E" w14:textId="77777777" w:rsidR="00A2189D" w:rsidRPr="00C52D3E" w:rsidRDefault="00A2189D" w:rsidP="00C52D3E">
      <w:pPr>
        <w:pStyle w:val="Ttulo3"/>
        <w:numPr>
          <w:ilvl w:val="2"/>
          <w:numId w:val="5"/>
        </w:numPr>
        <w:rPr>
          <w:rStyle w:val="Ttulo3Car"/>
          <w:rFonts w:ascii="Arial" w:hAnsi="Arial" w:cs="Arial"/>
          <w:b/>
          <w:color w:val="auto"/>
        </w:rPr>
      </w:pPr>
      <w:bookmarkStart w:id="10" w:name="_Toc114399484"/>
      <w:r w:rsidRPr="007C356E">
        <w:rPr>
          <w:rStyle w:val="Ttulo3Car"/>
          <w:rFonts w:ascii="Arial" w:hAnsi="Arial" w:cs="Arial"/>
          <w:b/>
          <w:color w:val="auto"/>
        </w:rPr>
        <w:t>Estado laboral:</w:t>
      </w:r>
      <w:bookmarkEnd w:id="10"/>
    </w:p>
    <w:p w14:paraId="3F53CC9F" w14:textId="77777777" w:rsidR="00A2189D" w:rsidRPr="007C356E" w:rsidRDefault="00A2189D" w:rsidP="00A2189D">
      <w:pPr>
        <w:rPr>
          <w:rFonts w:ascii="Arial" w:hAnsi="Arial" w:cs="Arial"/>
        </w:rPr>
      </w:pPr>
      <w:r w:rsidRPr="007C356E">
        <w:rPr>
          <w:rFonts w:ascii="Arial" w:hAnsi="Arial" w:cs="Arial"/>
        </w:rPr>
        <w:t xml:space="preserve"> Como medidas más significativas se evidenció que mientras el 49,35% de las mujeres empleadas formales o independientes obtienen menos de 2 respuestas correctas, para el caso de las desempleadas o amas de casa en una medida asciende a 63,41% y 67,94% respectivamente.</w:t>
      </w:r>
    </w:p>
    <w:p w14:paraId="0CDDD4EB" w14:textId="77777777" w:rsidR="00A2189D" w:rsidRPr="00C52D3E" w:rsidRDefault="00A2189D" w:rsidP="00C52D3E">
      <w:pPr>
        <w:pStyle w:val="Ttulo3"/>
        <w:numPr>
          <w:ilvl w:val="2"/>
          <w:numId w:val="5"/>
        </w:numPr>
        <w:rPr>
          <w:rStyle w:val="Ttulo3Car"/>
          <w:rFonts w:ascii="Arial" w:hAnsi="Arial" w:cs="Arial"/>
          <w:b/>
          <w:color w:val="auto"/>
        </w:rPr>
      </w:pPr>
      <w:bookmarkStart w:id="11" w:name="_Toc114399485"/>
      <w:r w:rsidRPr="007C356E">
        <w:rPr>
          <w:rStyle w:val="Ttulo3Car"/>
          <w:rFonts w:ascii="Arial" w:hAnsi="Arial" w:cs="Arial"/>
          <w:b/>
          <w:color w:val="auto"/>
        </w:rPr>
        <w:t>Nivel de ingresos:</w:t>
      </w:r>
      <w:bookmarkEnd w:id="11"/>
      <w:r w:rsidRPr="00C52D3E">
        <w:rPr>
          <w:rStyle w:val="Ttulo3Car"/>
          <w:rFonts w:ascii="Arial" w:hAnsi="Arial" w:cs="Arial"/>
          <w:b/>
          <w:color w:val="auto"/>
        </w:rPr>
        <w:t xml:space="preserve"> </w:t>
      </w:r>
    </w:p>
    <w:p w14:paraId="353DF717" w14:textId="77777777" w:rsidR="00A2189D" w:rsidRPr="007C356E" w:rsidRDefault="00A2189D" w:rsidP="00A2189D">
      <w:pPr>
        <w:rPr>
          <w:rFonts w:ascii="Arial" w:hAnsi="Arial" w:cs="Arial"/>
        </w:rPr>
      </w:pPr>
      <w:r w:rsidRPr="007C356E">
        <w:rPr>
          <w:rFonts w:ascii="Arial" w:hAnsi="Arial" w:cs="Arial"/>
        </w:rPr>
        <w:t xml:space="preserve">Se logró evidenciar que para aquellas mujeres que devengan menos de quinientos mil pesos, el 61,43% no obtuvo más de dos respuestas correctas y solo el 17,64% acertaron en 3 o más; para el caso de aquellas que ganan entre quinientos mil y un millón de pesos, el 24,8% obtuvo puntajes malos o inferiores a este y, solo el 18,4% obtuvo una buena puntuación; respecto a quienes se </w:t>
      </w:r>
      <w:r w:rsidRPr="007C356E">
        <w:rPr>
          <w:rFonts w:ascii="Arial" w:hAnsi="Arial" w:cs="Arial"/>
        </w:rPr>
        <w:t>encuentran ganando entre un millón y dos millones de pesos, el 46,29% de las mujeres obtuvo puntajes malos, muy malos o presentaron conocimiento nulo, mientras que el 34,25% obtuvo puntajes buenos o muy buenos; finalmente para quienes ganan más de dos millones de pesos, 0% de ellas presentan menos de 3 respuestas correctas, se encuentran ubicadas desde la categoría de conocimiento regular hasta muy bueno.</w:t>
      </w:r>
    </w:p>
    <w:p w14:paraId="253CFE48" w14:textId="77777777" w:rsidR="00A2189D" w:rsidRPr="00C52D3E" w:rsidRDefault="00A2189D" w:rsidP="00C52D3E">
      <w:pPr>
        <w:pStyle w:val="Ttulo3"/>
        <w:numPr>
          <w:ilvl w:val="2"/>
          <w:numId w:val="5"/>
        </w:numPr>
        <w:rPr>
          <w:rStyle w:val="Ttulo3Car"/>
          <w:rFonts w:ascii="Arial" w:hAnsi="Arial" w:cs="Arial"/>
          <w:b/>
          <w:color w:val="auto"/>
        </w:rPr>
      </w:pPr>
      <w:bookmarkStart w:id="12" w:name="_Toc114399486"/>
      <w:r w:rsidRPr="007C356E">
        <w:rPr>
          <w:rStyle w:val="Ttulo3Car"/>
          <w:rFonts w:ascii="Arial" w:hAnsi="Arial" w:cs="Arial"/>
          <w:b/>
          <w:color w:val="auto"/>
        </w:rPr>
        <w:t>Autoconfianza financiera:</w:t>
      </w:r>
      <w:bookmarkEnd w:id="12"/>
      <w:r w:rsidRPr="00C52D3E">
        <w:rPr>
          <w:rStyle w:val="Ttulo3Car"/>
          <w:rFonts w:ascii="Arial" w:hAnsi="Arial" w:cs="Arial"/>
          <w:b/>
          <w:color w:val="auto"/>
        </w:rPr>
        <w:t xml:space="preserve"> </w:t>
      </w:r>
    </w:p>
    <w:p w14:paraId="2FF3CA3A" w14:textId="77777777" w:rsidR="00A2189D" w:rsidRPr="007C356E" w:rsidRDefault="00A2189D" w:rsidP="00A2189D">
      <w:pPr>
        <w:rPr>
          <w:rFonts w:ascii="Arial" w:hAnsi="Arial" w:cs="Arial"/>
        </w:rPr>
      </w:pPr>
      <w:r w:rsidRPr="007C356E">
        <w:rPr>
          <w:rFonts w:ascii="Arial" w:hAnsi="Arial" w:cs="Arial"/>
        </w:rPr>
        <w:t xml:space="preserve">De las mujeres que se consideran a sí mismas muy buenas en el manejo de temas financieros, el 45,02% de ellas mostró un desempeño malo o inferior para este indicador y solo el 28,76% se posicionó en el rango de bueno o muy bueno; para aquellas que se consideraron solo buenas, el 51,57% respondió dos o menos preguntas de manera correcta y, solo el 17,89% de ellas contestó cuatro o más correctamente; de aquellas que creen que son regulares en el manejo de temas financieros, el 57,29% obtuvo puntajes malos o inferiores y solo el 25% alcanzó las calificaciones más altas; en cuanto a las que se postularon como malas o muy malas en el manejo de temas </w:t>
      </w:r>
      <w:r w:rsidRPr="007C356E">
        <w:rPr>
          <w:rFonts w:ascii="Arial" w:hAnsi="Arial" w:cs="Arial"/>
        </w:rPr>
        <w:lastRenderedPageBreak/>
        <w:t xml:space="preserve">financieros, el 60,41% y 85,71% respectivamente mostraron un desempaño de esta medida, mientras que el 22% y el 7,14% respectivamente para la misma consideración, evidenció un conocimiento bueno o superior. </w:t>
      </w:r>
    </w:p>
    <w:p w14:paraId="36A1E425" w14:textId="77777777" w:rsidR="00A2189D" w:rsidRPr="007C356E" w:rsidRDefault="00A2189D" w:rsidP="00C52D3E">
      <w:pPr>
        <w:pStyle w:val="Ttulo2"/>
        <w:numPr>
          <w:ilvl w:val="1"/>
          <w:numId w:val="5"/>
        </w:numPr>
        <w:tabs>
          <w:tab w:val="num" w:pos="360"/>
        </w:tabs>
        <w:rPr>
          <w:rFonts w:ascii="Arial" w:hAnsi="Arial" w:cs="Arial"/>
          <w:b/>
          <w:bCs/>
          <w:color w:val="auto"/>
          <w:sz w:val="24"/>
          <w:szCs w:val="24"/>
        </w:rPr>
      </w:pPr>
      <w:bookmarkStart w:id="13" w:name="_Toc114399487"/>
      <w:r w:rsidRPr="00C52D3E">
        <w:rPr>
          <w:rFonts w:ascii="Arial" w:hAnsi="Arial" w:cs="Arial"/>
          <w:b/>
          <w:bCs/>
          <w:color w:val="auto"/>
          <w:sz w:val="24"/>
          <w:szCs w:val="24"/>
        </w:rPr>
        <w:t>Actitud Financiera</w:t>
      </w:r>
      <w:bookmarkEnd w:id="13"/>
    </w:p>
    <w:p w14:paraId="7BBA2772" w14:textId="77777777" w:rsidR="00A2189D" w:rsidRPr="00C52D3E" w:rsidRDefault="00A2189D" w:rsidP="00C52D3E">
      <w:pPr>
        <w:pStyle w:val="Ttulo3"/>
        <w:numPr>
          <w:ilvl w:val="2"/>
          <w:numId w:val="5"/>
        </w:numPr>
        <w:rPr>
          <w:rStyle w:val="Ttulo3Car"/>
          <w:rFonts w:ascii="Arial" w:hAnsi="Arial" w:cs="Arial"/>
          <w:b/>
          <w:color w:val="auto"/>
        </w:rPr>
      </w:pPr>
      <w:bookmarkStart w:id="14" w:name="_Toc114399488"/>
      <w:r w:rsidRPr="007C356E">
        <w:rPr>
          <w:rStyle w:val="Ttulo3Car"/>
          <w:rFonts w:ascii="Arial" w:hAnsi="Arial" w:cs="Arial"/>
          <w:b/>
          <w:color w:val="auto"/>
        </w:rPr>
        <w:t>Edad:</w:t>
      </w:r>
      <w:bookmarkEnd w:id="14"/>
    </w:p>
    <w:p w14:paraId="2F882F9C" w14:textId="77777777" w:rsidR="00A2189D" w:rsidRPr="007C356E" w:rsidRDefault="00A2189D" w:rsidP="00A2189D">
      <w:pPr>
        <w:rPr>
          <w:rFonts w:ascii="Arial" w:hAnsi="Arial" w:cs="Arial"/>
        </w:rPr>
      </w:pPr>
      <w:r w:rsidRPr="007C356E">
        <w:rPr>
          <w:rFonts w:ascii="Arial" w:hAnsi="Arial" w:cs="Arial"/>
        </w:rPr>
        <w:t xml:space="preserve"> De las mujeres pertenecientes al rango etario de 20 a 29 años y de 30 a 39, el 77,77% y el 82,65% respectivamente, tiene en promedio una actitud financiera regular o inferior a esta, mientras que para las pertenecientes al rango de 40 a 49 y 50 a 59, el 53,52% y el 59,32% respectivamente presentan una buena o muy buena actitud financiera.</w:t>
      </w:r>
    </w:p>
    <w:p w14:paraId="16973C6E" w14:textId="77777777" w:rsidR="00A2189D" w:rsidRPr="007C356E" w:rsidRDefault="00A2189D" w:rsidP="00A2189D">
      <w:pPr>
        <w:spacing w:after="0" w:line="240" w:lineRule="auto"/>
        <w:rPr>
          <w:rFonts w:ascii="Arial" w:hAnsi="Arial" w:cs="Arial"/>
        </w:rPr>
      </w:pPr>
    </w:p>
    <w:p w14:paraId="42F609C0" w14:textId="77777777" w:rsidR="00A2189D" w:rsidRPr="007C356E" w:rsidRDefault="00A2189D" w:rsidP="00C52D3E">
      <w:pPr>
        <w:pStyle w:val="Ttulo2"/>
        <w:numPr>
          <w:ilvl w:val="1"/>
          <w:numId w:val="5"/>
        </w:numPr>
        <w:tabs>
          <w:tab w:val="num" w:pos="360"/>
        </w:tabs>
        <w:rPr>
          <w:rFonts w:ascii="Arial" w:hAnsi="Arial" w:cs="Arial"/>
          <w:b/>
          <w:bCs/>
          <w:color w:val="auto"/>
          <w:sz w:val="24"/>
          <w:szCs w:val="24"/>
        </w:rPr>
      </w:pPr>
      <w:bookmarkStart w:id="15" w:name="_Toc114399489"/>
      <w:r w:rsidRPr="00C52D3E">
        <w:rPr>
          <w:rFonts w:ascii="Arial" w:hAnsi="Arial" w:cs="Arial"/>
          <w:b/>
          <w:bCs/>
          <w:color w:val="auto"/>
          <w:sz w:val="24"/>
          <w:szCs w:val="24"/>
        </w:rPr>
        <w:t>Autoconfianza financiera</w:t>
      </w:r>
      <w:bookmarkEnd w:id="15"/>
    </w:p>
    <w:p w14:paraId="73E0D0A8" w14:textId="77777777" w:rsidR="00A2189D" w:rsidRPr="007C356E" w:rsidRDefault="00A2189D" w:rsidP="00A2189D">
      <w:pPr>
        <w:spacing w:after="0" w:line="240" w:lineRule="auto"/>
        <w:rPr>
          <w:rFonts w:ascii="Arial" w:hAnsi="Arial" w:cs="Arial"/>
        </w:rPr>
      </w:pPr>
    </w:p>
    <w:p w14:paraId="12B1A8EE" w14:textId="7C4D2F0E" w:rsidR="00A2189D" w:rsidRPr="007C356E" w:rsidRDefault="00A2189D" w:rsidP="00A2189D">
      <w:pPr>
        <w:rPr>
          <w:rFonts w:ascii="Arial" w:hAnsi="Arial" w:cs="Arial"/>
        </w:rPr>
      </w:pPr>
      <w:r w:rsidRPr="007C356E">
        <w:rPr>
          <w:rFonts w:ascii="Arial" w:hAnsi="Arial" w:cs="Arial"/>
        </w:rPr>
        <w:t xml:space="preserve">Según la literatura, uno de los factores que en mayor medida influye sobre la alfabetización financiera corresponde a la autoconfianza percibida por los individuos en dichos temas financieros, pues es lo que les permite sentirse seguros ante las decisiones financieras cotidianas a las que se enfrentan. Es así, como en el análisis del nivel que las mujeres consideran que </w:t>
      </w:r>
      <w:r w:rsidRPr="007C356E">
        <w:rPr>
          <w:rFonts w:ascii="Arial" w:hAnsi="Arial" w:cs="Arial"/>
        </w:rPr>
        <w:t xml:space="preserve">tienen respecto al manejo de temas financieros vs su conocimiento, comportamiento y actitud financieras reales, se encontró que el conocimiento financiero es el indicador mayormente influenciado por dicha variable. En términos generales, de aquellas mujeres que se autodenominan muy buenas con relación a las finanzas, el promedio de resultado en conocimiento financiero fue 3, comportamiento fue 5 y actitud fue 3; del grupo de mujeres que se consideran buenas, la media de conocimiento fue de 2, de comportamiento fue de 4 y de actitud 3; para el caso de quienes se auto perciben como regulares, el valor medio de conocimiento fue de 2, de comportamiento 4 y de actitud 3; finalmente para aquellas que no se tienen confianza respecto al manejo de temas financieros, la media de conocimiento fue de 2 para cuando manifestaban un nivel malo y de 1 para muy malo, respecto al comportamiento y actitud, la media de los puntajes obtenidos en ambos casos fue de 4. </w:t>
      </w:r>
    </w:p>
    <w:p w14:paraId="5A27E6D2" w14:textId="3DCFD72C" w:rsidR="00A2189D" w:rsidRDefault="00A2189D" w:rsidP="00A2189D">
      <w:pPr>
        <w:autoSpaceDE w:val="0"/>
        <w:autoSpaceDN w:val="0"/>
        <w:adjustRightInd w:val="0"/>
        <w:spacing w:after="0" w:line="240" w:lineRule="auto"/>
        <w:ind w:firstLine="0"/>
        <w:jc w:val="left"/>
        <w:rPr>
          <w:rFonts w:ascii="Arial" w:hAnsi="Arial" w:cs="Arial"/>
        </w:rPr>
      </w:pPr>
    </w:p>
    <w:p w14:paraId="357CD0ED" w14:textId="77777777" w:rsidR="00911D91" w:rsidRPr="00D377EC" w:rsidRDefault="00911D91" w:rsidP="00D377EC">
      <w:pPr>
        <w:pStyle w:val="Ttulo1"/>
        <w:numPr>
          <w:ilvl w:val="0"/>
          <w:numId w:val="5"/>
        </w:numPr>
        <w:tabs>
          <w:tab w:val="num" w:pos="360"/>
        </w:tabs>
        <w:rPr>
          <w:rFonts w:ascii="Arial" w:hAnsi="Arial" w:cs="Arial"/>
          <w:b/>
          <w:bCs/>
          <w:color w:val="auto"/>
          <w:sz w:val="24"/>
          <w:szCs w:val="24"/>
        </w:rPr>
      </w:pPr>
      <w:bookmarkStart w:id="16" w:name="_Toc114399490"/>
      <w:r w:rsidRPr="00D377EC">
        <w:rPr>
          <w:rFonts w:ascii="Arial" w:hAnsi="Arial" w:cs="Arial"/>
          <w:b/>
          <w:bCs/>
          <w:color w:val="auto"/>
          <w:sz w:val="24"/>
          <w:szCs w:val="24"/>
        </w:rPr>
        <w:lastRenderedPageBreak/>
        <w:t>Comparación del nivel de alfabetización obtenido por la población objetivo respecto a mediciones realizadas en años anteriores</w:t>
      </w:r>
      <w:bookmarkEnd w:id="16"/>
    </w:p>
    <w:p w14:paraId="1067D42A" w14:textId="77777777" w:rsidR="00911D91" w:rsidRPr="006C657C" w:rsidRDefault="00911D91" w:rsidP="00911D91">
      <w:pPr>
        <w:spacing w:after="0" w:line="240" w:lineRule="auto"/>
        <w:rPr>
          <w:b/>
          <w:bCs w:val="0"/>
        </w:rPr>
      </w:pPr>
    </w:p>
    <w:p w14:paraId="7A430E58" w14:textId="77777777" w:rsidR="00911D91" w:rsidRPr="00D377EC" w:rsidRDefault="00911D91" w:rsidP="00D377EC">
      <w:pPr>
        <w:pStyle w:val="Ttulo2"/>
        <w:numPr>
          <w:ilvl w:val="1"/>
          <w:numId w:val="5"/>
        </w:numPr>
        <w:tabs>
          <w:tab w:val="num" w:pos="360"/>
        </w:tabs>
        <w:rPr>
          <w:rFonts w:ascii="Arial" w:hAnsi="Arial" w:cs="Arial"/>
          <w:b/>
          <w:bCs/>
          <w:color w:val="auto"/>
          <w:sz w:val="24"/>
          <w:szCs w:val="24"/>
        </w:rPr>
      </w:pPr>
      <w:bookmarkStart w:id="17" w:name="_Toc114399491"/>
      <w:r w:rsidRPr="00D377EC">
        <w:rPr>
          <w:rFonts w:ascii="Arial" w:hAnsi="Arial" w:cs="Arial"/>
          <w:b/>
          <w:bCs/>
          <w:color w:val="auto"/>
          <w:sz w:val="24"/>
          <w:szCs w:val="24"/>
        </w:rPr>
        <w:t>Comparación nacional:</w:t>
      </w:r>
      <w:bookmarkEnd w:id="17"/>
    </w:p>
    <w:p w14:paraId="798A43EC" w14:textId="77777777" w:rsidR="00911D91" w:rsidRDefault="00911D91" w:rsidP="00911D91">
      <w:pPr>
        <w:spacing w:after="0" w:line="240" w:lineRule="auto"/>
      </w:pPr>
    </w:p>
    <w:p w14:paraId="485C9B9C" w14:textId="663304A2" w:rsidR="00911D91" w:rsidRPr="00D377EC" w:rsidRDefault="00911D91" w:rsidP="00911D91">
      <w:pPr>
        <w:rPr>
          <w:rFonts w:ascii="Arial" w:hAnsi="Arial" w:cs="Arial"/>
        </w:rPr>
      </w:pPr>
      <w:r w:rsidRPr="00D377EC">
        <w:rPr>
          <w:rFonts w:ascii="Arial" w:hAnsi="Arial" w:cs="Arial"/>
        </w:rPr>
        <w:t>Las medidas de capacidades financieras en Colombia fueron realizadas en el año 2013 y 2019. El puntaje de alfabetización financiera obtenido engloba el conocimiento, el comportamiento y la actitud financiera, arrojando para el año 2013 un valor de 12,47 de 21 puntos posibles, representando un 58,38% del puntaje máximo. Para el año 2019, dicha cifra desciende a un 54% y, en contraste con lo anterior, para el estudio en cuestión el puntaje obtenido representa un 67% de la puntuación total. A continuación, se realizará una comparación por componentes comunes respecto a la última medición realizada a nivel nacional (año 2019) con la presente investigación (ver tabla 1). Se presentarán en color verde aquellos que muestran un aumento significativo en el indicador, en rojo quienes presentan una disminución y en negro los que no tienen altas variaciones.</w:t>
      </w:r>
    </w:p>
    <w:p w14:paraId="5528FE05" w14:textId="77777777" w:rsidR="00911D91" w:rsidRPr="00D377EC" w:rsidRDefault="00911D91" w:rsidP="00D377EC">
      <w:pPr>
        <w:pStyle w:val="Ttulo2"/>
        <w:numPr>
          <w:ilvl w:val="1"/>
          <w:numId w:val="5"/>
        </w:numPr>
        <w:tabs>
          <w:tab w:val="num" w:pos="360"/>
        </w:tabs>
        <w:rPr>
          <w:rFonts w:ascii="Arial" w:hAnsi="Arial" w:cs="Arial"/>
          <w:b/>
          <w:bCs/>
          <w:color w:val="auto"/>
          <w:sz w:val="24"/>
          <w:szCs w:val="24"/>
        </w:rPr>
      </w:pPr>
      <w:bookmarkStart w:id="18" w:name="_Toc114399492"/>
      <w:r w:rsidRPr="00D377EC">
        <w:rPr>
          <w:rFonts w:ascii="Arial" w:hAnsi="Arial" w:cs="Arial"/>
          <w:b/>
          <w:bCs/>
          <w:color w:val="auto"/>
          <w:sz w:val="24"/>
          <w:szCs w:val="24"/>
        </w:rPr>
        <w:t>Comparación internacional:</w:t>
      </w:r>
      <w:bookmarkEnd w:id="18"/>
    </w:p>
    <w:p w14:paraId="20A5D7CA" w14:textId="77777777" w:rsidR="00911D91" w:rsidRPr="00D377EC" w:rsidRDefault="00911D91" w:rsidP="00911D91">
      <w:pPr>
        <w:spacing w:after="0" w:line="240" w:lineRule="auto"/>
        <w:rPr>
          <w:rFonts w:ascii="Arial" w:hAnsi="Arial" w:cs="Arial"/>
        </w:rPr>
      </w:pPr>
    </w:p>
    <w:p w14:paraId="15542F49" w14:textId="27380912" w:rsidR="00911D91" w:rsidRPr="00D377EC" w:rsidRDefault="00911D91" w:rsidP="00911D91">
      <w:pPr>
        <w:rPr>
          <w:rFonts w:ascii="Arial" w:hAnsi="Arial" w:cs="Arial"/>
        </w:rPr>
      </w:pPr>
      <w:r w:rsidRPr="00D377EC">
        <w:rPr>
          <w:rFonts w:ascii="Arial" w:hAnsi="Arial" w:cs="Arial"/>
        </w:rPr>
        <w:t xml:space="preserve">La organización de desarrollo económico a través de la encuesta internacional de alfabetización financiera de adultos, ha realizado la medición del nivel de alfabetización financiera de 26 países alrededor del mundo (ver figura </w:t>
      </w:r>
      <w:r w:rsidR="00892BDC">
        <w:rPr>
          <w:rFonts w:ascii="Arial" w:hAnsi="Arial" w:cs="Arial"/>
        </w:rPr>
        <w:t>III</w:t>
      </w:r>
      <w:r w:rsidRPr="00D377EC">
        <w:rPr>
          <w:rFonts w:ascii="Arial" w:hAnsi="Arial" w:cs="Arial"/>
        </w:rPr>
        <w:t xml:space="preserve">), en donde se plantea, que la obtención de la puntuación máxima (21 puntos) sugiere que la persona ha adquirido un nivel básico de comprensión de conceptos financieros y de manera general aplica algunos principios prudentes en sus operaciones financieras </w:t>
      </w:r>
      <w:sdt>
        <w:sdtPr>
          <w:rPr>
            <w:rFonts w:ascii="Arial" w:hAnsi="Arial" w:cs="Arial"/>
            <w:color w:val="000000"/>
          </w:rPr>
          <w:tag w:val="MENDELEY_CITATION_v3_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"/>
          <w:id w:val="-1190056511"/>
          <w:placeholder>
            <w:docPart w:val="071DDBCA74724CFD9A164E660F8EFEF0"/>
          </w:placeholder>
        </w:sdtPr>
        <w:sdtContent>
          <w:r w:rsidRPr="00D377EC">
            <w:rPr>
              <w:rFonts w:ascii="Arial" w:hAnsi="Arial" w:cs="Arial"/>
              <w:color w:val="000000"/>
            </w:rPr>
            <w:t>(OCDE, 2020)</w:t>
          </w:r>
        </w:sdtContent>
      </w:sdt>
      <w:r w:rsidRPr="00D377EC">
        <w:rPr>
          <w:rFonts w:ascii="Arial" w:hAnsi="Arial" w:cs="Arial"/>
          <w:color w:val="000000"/>
        </w:rPr>
        <w:t xml:space="preserve">. </w:t>
      </w:r>
      <w:r w:rsidRPr="00D377EC">
        <w:rPr>
          <w:rFonts w:ascii="Arial" w:hAnsi="Arial" w:cs="Arial"/>
        </w:rPr>
        <w:t xml:space="preserve"> A través de dichos resultados, se observa que el país con mejor con mejor desempeño es Hong Kong con el 71% del puntaje máximo, el país con el menor desempeño es Italia, con un 53% y Colombia, se ubica entre los menores puntajes con un 53% de la ya mencionada puntuación máxima. Adicionalmente, el valor promedio de alfabetización financiera medido corresponde a 60,47%, ubicando a las mujeres de la población en estudio en un nivel superior al del promedio con un puntaje del 67%. Estos valores se dividen en conocimiento financiero con </w:t>
      </w:r>
      <w:r w:rsidRPr="00D377EC">
        <w:rPr>
          <w:rFonts w:ascii="Arial" w:hAnsi="Arial" w:cs="Arial"/>
        </w:rPr>
        <w:lastRenderedPageBreak/>
        <w:t>un promedio en los países del 63%, comportamiento financiero con un promedio de 59% y actitud financiera con un valor promedio de 59% del puntaje máximo. Ante dichos valores, las mujeres en condición de vulnerabilidad del AMB se encuentran muy por debajo respecto al conocimiento financiero, con puntaje de 47,8% y, se encuentra sobre el promedio de comportamiento y actitud financiera con un 87,8% y 76% respectivamente del puntaje total máximo.</w:t>
      </w:r>
    </w:p>
    <w:p w14:paraId="5840DFCA" w14:textId="3DED97A3" w:rsidR="00627A3B" w:rsidRPr="00D377EC" w:rsidRDefault="00627A3B" w:rsidP="00627A3B">
      <w:pPr>
        <w:rPr>
          <w:rFonts w:ascii="Arial" w:hAnsi="Arial" w:cs="Arial"/>
        </w:rPr>
      </w:pPr>
      <w:r w:rsidRPr="00D377EC">
        <w:rPr>
          <w:rFonts w:ascii="Arial" w:hAnsi="Arial" w:cs="Arial"/>
        </w:rPr>
        <w:t xml:space="preserve">En dicha encuesta realizada, a Colombia se le menciona como foco para dos casos específicos, el primero hace referencia a la medición del comportamiento financiero, donde fue considerado uno de los países con los puntajes más bajos, 4,8 de 9 puntos posibles. El segundo caso, tiene que ver con el ahorro, donde también presentó uno de los puntajes más bajos respecto al resto de participantes, con un 37% del puntaje máximo, haciendo énfasis en que, aunque el 62,9% manifestó inicialmente planificar para el largo plazo, solo esta pequeña proporción mencionada realmente hace el ejercicio de ahorro activo, presentando una </w:t>
      </w:r>
      <w:r w:rsidRPr="00D377EC">
        <w:rPr>
          <w:rFonts w:ascii="Arial" w:hAnsi="Arial" w:cs="Arial"/>
        </w:rPr>
        <w:t xml:space="preserve">disparidad llamada al futuro análisis para su comprensión. </w:t>
      </w:r>
    </w:p>
    <w:p w14:paraId="0F86B906" w14:textId="2C1C83CB" w:rsidR="00911D91" w:rsidRPr="00D377EC" w:rsidRDefault="00D377EC" w:rsidP="00A3380C">
      <w:pPr>
        <w:rPr>
          <w:rFonts w:ascii="Arial" w:hAnsi="Arial" w:cs="Arial"/>
        </w:rPr>
      </w:pPr>
      <w:r w:rsidRPr="00D377EC">
        <w:rPr>
          <w:rFonts w:ascii="Arial" w:hAnsi="Arial" w:cs="Arial"/>
        </w:rPr>
        <w:t>Del mismo modo, se reconoció que existe relación entre el comportamiento financiero de las mujeres y de los diferentes países encuestados. Respecto a la confianza en el sistema financiero formal, para ambos casos existe una gran predisposición al acceso a créditos en general y créditos formales, quienes en última instancia recurren a este medio prefieren hacerlo a través de sus familiares o amigos (42,9% en promedio para los países y 6,3% para las mujeres), que adquirir préstamos formales (20,3% para las personas de la encuesta internacional y 4,7% para las mujeres). En cuanto a la actitud de previsión ante las compras, más del 70% de las personas encuestadas a nivel internacional consideran cuidadosamente su situación financiera antes de realizar una compra, la cifra para las mujeres vulnerables asciende a 91,23%. Finalmente, para el caso del pago oportuno de obligaciones, el 80% de las personas encuestadas en los diferentes países paga sus deudas a tiempo, para la población objeti</w:t>
      </w:r>
      <w:r w:rsidR="00DD6C85">
        <w:rPr>
          <w:rFonts w:ascii="Arial" w:hAnsi="Arial" w:cs="Arial"/>
        </w:rPr>
        <w:t>v</w:t>
      </w:r>
      <w:r w:rsidRPr="00D377EC">
        <w:rPr>
          <w:rFonts w:ascii="Arial" w:hAnsi="Arial" w:cs="Arial"/>
        </w:rPr>
        <w:t>o asciende a 94,74%.</w:t>
      </w:r>
    </w:p>
    <w:p w14:paraId="1D73BF88" w14:textId="77777777" w:rsidR="00911D91" w:rsidRPr="00D377EC" w:rsidRDefault="00911D91" w:rsidP="00A3380C">
      <w:pPr>
        <w:pStyle w:val="Descripcin"/>
        <w:keepNext/>
        <w:spacing w:after="0"/>
        <w:ind w:firstLine="0"/>
        <w:rPr>
          <w:rFonts w:ascii="Arial" w:hAnsi="Arial" w:cs="Arial"/>
          <w:sz w:val="22"/>
          <w:szCs w:val="22"/>
        </w:rPr>
        <w:sectPr w:rsidR="00911D91" w:rsidRPr="00D377EC" w:rsidSect="000D752A">
          <w:type w:val="continuous"/>
          <w:pgSz w:w="12240" w:h="15840"/>
          <w:pgMar w:top="1440" w:right="1440" w:bottom="1440" w:left="1440" w:header="708" w:footer="708" w:gutter="0"/>
          <w:cols w:num="2" w:space="708"/>
          <w:docGrid w:linePitch="360"/>
        </w:sectPr>
      </w:pPr>
      <w:bookmarkStart w:id="19" w:name="_Toc114399701"/>
    </w:p>
    <w:p w14:paraId="23CA98A6" w14:textId="757DBE18" w:rsidR="00911D91" w:rsidRPr="00D377EC" w:rsidRDefault="00911D91" w:rsidP="00911D91">
      <w:pPr>
        <w:pStyle w:val="Descripcin"/>
        <w:keepNext/>
        <w:jc w:val="center"/>
        <w:rPr>
          <w:rFonts w:ascii="Arial" w:hAnsi="Arial" w:cs="Arial"/>
          <w:sz w:val="22"/>
          <w:szCs w:val="22"/>
        </w:rPr>
      </w:pPr>
      <w:r w:rsidRPr="00D377EC">
        <w:rPr>
          <w:rFonts w:ascii="Arial" w:hAnsi="Arial" w:cs="Arial"/>
          <w:sz w:val="22"/>
          <w:szCs w:val="22"/>
        </w:rPr>
        <w:lastRenderedPageBreak/>
        <w:t>Tabla 1: Resumen de comparación nacional del nivel de alfabetización financiera</w:t>
      </w:r>
      <w:bookmarkEnd w:id="19"/>
    </w:p>
    <w:p w14:paraId="5D503A32" w14:textId="77777777" w:rsidR="00911D91" w:rsidRPr="00D377EC" w:rsidRDefault="00911D91" w:rsidP="005E5F10">
      <w:pPr>
        <w:ind w:firstLine="0"/>
        <w:rPr>
          <w:rFonts w:ascii="Arial" w:hAnsi="Arial" w:cs="Arial"/>
          <w:b/>
          <w:bCs w:val="0"/>
        </w:rPr>
        <w:sectPr w:rsidR="00911D91" w:rsidRPr="00D377EC" w:rsidSect="00911D91">
          <w:type w:val="continuous"/>
          <w:pgSz w:w="12240" w:h="15840"/>
          <w:pgMar w:top="1440" w:right="1440" w:bottom="1440" w:left="1440" w:header="708" w:footer="708" w:gutter="0"/>
          <w:cols w:space="708"/>
          <w:docGrid w:linePitch="360"/>
        </w:sectPr>
      </w:pPr>
    </w:p>
    <w:tbl>
      <w:tblPr>
        <w:tblStyle w:val="Tabladelista1clara2"/>
        <w:tblW w:w="0" w:type="auto"/>
        <w:tblLook w:val="04A0" w:firstRow="1" w:lastRow="0" w:firstColumn="1" w:lastColumn="0" w:noHBand="0" w:noVBand="1"/>
      </w:tblPr>
      <w:tblGrid>
        <w:gridCol w:w="5812"/>
        <w:gridCol w:w="1843"/>
        <w:gridCol w:w="1695"/>
      </w:tblGrid>
      <w:tr w:rsidR="00911D91" w:rsidRPr="00D377EC" w14:paraId="4ACC382F" w14:textId="77777777" w:rsidTr="005E5F1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812" w:type="dxa"/>
          </w:tcPr>
          <w:p w14:paraId="2E4EDE24" w14:textId="77777777" w:rsidR="00911D91" w:rsidRPr="00D377EC" w:rsidRDefault="00911D91" w:rsidP="00911D91">
            <w:pPr>
              <w:spacing w:line="276" w:lineRule="auto"/>
              <w:ind w:firstLine="0"/>
              <w:rPr>
                <w:rFonts w:ascii="Arial" w:hAnsi="Arial" w:cs="Arial"/>
                <w:sz w:val="20"/>
                <w:szCs w:val="20"/>
              </w:rPr>
            </w:pPr>
            <w:r w:rsidRPr="00D377EC">
              <w:rPr>
                <w:rFonts w:ascii="Arial" w:hAnsi="Arial" w:cs="Arial"/>
                <w:sz w:val="20"/>
                <w:szCs w:val="20"/>
              </w:rPr>
              <w:t>Componente</w:t>
            </w:r>
          </w:p>
        </w:tc>
        <w:tc>
          <w:tcPr>
            <w:tcW w:w="1843" w:type="dxa"/>
          </w:tcPr>
          <w:p w14:paraId="22ACC9A5" w14:textId="77777777" w:rsidR="00911D91" w:rsidRPr="00D377EC" w:rsidRDefault="00911D91" w:rsidP="00911D91">
            <w:pPr>
              <w:spacing w:line="276" w:lineRule="auto"/>
              <w:ind w:firstLine="0"/>
              <w:jc w:val="cente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D377EC">
              <w:rPr>
                <w:rFonts w:ascii="Arial" w:hAnsi="Arial" w:cs="Arial"/>
                <w:sz w:val="20"/>
                <w:szCs w:val="20"/>
              </w:rPr>
              <w:t>Resultado 2019</w:t>
            </w:r>
          </w:p>
        </w:tc>
        <w:tc>
          <w:tcPr>
            <w:tcW w:w="1695" w:type="dxa"/>
          </w:tcPr>
          <w:p w14:paraId="59C08C1E" w14:textId="77777777" w:rsidR="00911D91" w:rsidRPr="00D377EC" w:rsidRDefault="00911D91" w:rsidP="00911D91">
            <w:pPr>
              <w:spacing w:line="276" w:lineRule="auto"/>
              <w:ind w:firstLine="0"/>
              <w:jc w:val="cente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D377EC">
              <w:rPr>
                <w:rFonts w:ascii="Arial" w:hAnsi="Arial" w:cs="Arial"/>
                <w:sz w:val="20"/>
                <w:szCs w:val="20"/>
              </w:rPr>
              <w:t>Valor actual</w:t>
            </w:r>
          </w:p>
        </w:tc>
      </w:tr>
      <w:tr w:rsidR="00911D91" w:rsidRPr="00D377EC" w14:paraId="394A1AF9" w14:textId="77777777" w:rsidTr="005E5F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812" w:type="dxa"/>
          </w:tcPr>
          <w:p w14:paraId="17944263" w14:textId="77777777" w:rsidR="00911D91" w:rsidRPr="00D377EC" w:rsidRDefault="00911D91" w:rsidP="00911D91">
            <w:pPr>
              <w:spacing w:line="276" w:lineRule="auto"/>
              <w:ind w:firstLine="0"/>
              <w:rPr>
                <w:rFonts w:ascii="Arial" w:hAnsi="Arial" w:cs="Arial"/>
                <w:b w:val="0"/>
                <w:bCs/>
                <w:sz w:val="20"/>
                <w:szCs w:val="20"/>
              </w:rPr>
            </w:pPr>
            <w:r w:rsidRPr="00D377EC">
              <w:rPr>
                <w:rFonts w:ascii="Arial" w:hAnsi="Arial" w:cs="Arial"/>
                <w:b w:val="0"/>
                <w:sz w:val="20"/>
                <w:szCs w:val="20"/>
              </w:rPr>
              <w:t>Toma autónoma de decisiones en el hogar</w:t>
            </w:r>
          </w:p>
        </w:tc>
        <w:tc>
          <w:tcPr>
            <w:tcW w:w="1843" w:type="dxa"/>
          </w:tcPr>
          <w:p w14:paraId="2DC3853E" w14:textId="77777777" w:rsidR="00911D91" w:rsidRPr="00D377EC" w:rsidRDefault="00911D91" w:rsidP="00911D91">
            <w:pPr>
              <w:spacing w:line="276" w:lineRule="auto"/>
              <w:ind w:firstLine="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B050"/>
                <w:sz w:val="20"/>
                <w:szCs w:val="20"/>
              </w:rPr>
            </w:pPr>
            <w:r w:rsidRPr="00D377EC">
              <w:rPr>
                <w:rFonts w:ascii="Arial" w:hAnsi="Arial" w:cs="Arial"/>
                <w:color w:val="00B050"/>
                <w:sz w:val="20"/>
                <w:szCs w:val="20"/>
              </w:rPr>
              <w:t>39%</w:t>
            </w:r>
          </w:p>
        </w:tc>
        <w:tc>
          <w:tcPr>
            <w:tcW w:w="1695" w:type="dxa"/>
          </w:tcPr>
          <w:p w14:paraId="40DB549E" w14:textId="77777777" w:rsidR="00911D91" w:rsidRPr="00D377EC" w:rsidRDefault="00911D91" w:rsidP="00911D91">
            <w:pPr>
              <w:spacing w:line="276" w:lineRule="auto"/>
              <w:ind w:firstLine="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B050"/>
                <w:sz w:val="20"/>
                <w:szCs w:val="20"/>
              </w:rPr>
            </w:pPr>
            <w:r w:rsidRPr="00D377EC">
              <w:rPr>
                <w:rFonts w:ascii="Arial" w:hAnsi="Arial" w:cs="Arial"/>
                <w:color w:val="00B050"/>
                <w:sz w:val="20"/>
                <w:szCs w:val="20"/>
              </w:rPr>
              <w:t>44,86%</w:t>
            </w:r>
          </w:p>
        </w:tc>
      </w:tr>
      <w:tr w:rsidR="00911D91" w:rsidRPr="00D377EC" w14:paraId="5E6091DB" w14:textId="77777777" w:rsidTr="005E5F10">
        <w:tc>
          <w:tcPr>
            <w:cnfStyle w:val="001000000000" w:firstRow="0" w:lastRow="0" w:firstColumn="1" w:lastColumn="0" w:oddVBand="0" w:evenVBand="0" w:oddHBand="0" w:evenHBand="0" w:firstRowFirstColumn="0" w:firstRowLastColumn="0" w:lastRowFirstColumn="0" w:lastRowLastColumn="0"/>
            <w:tcW w:w="5812" w:type="dxa"/>
          </w:tcPr>
          <w:p w14:paraId="6AF999AC" w14:textId="77777777" w:rsidR="00911D91" w:rsidRPr="00D377EC" w:rsidRDefault="00911D91" w:rsidP="00911D91">
            <w:pPr>
              <w:spacing w:line="276" w:lineRule="auto"/>
              <w:ind w:firstLine="0"/>
              <w:rPr>
                <w:rFonts w:ascii="Arial" w:hAnsi="Arial" w:cs="Arial"/>
                <w:b w:val="0"/>
                <w:bCs/>
                <w:sz w:val="20"/>
                <w:szCs w:val="20"/>
              </w:rPr>
            </w:pPr>
            <w:r w:rsidRPr="00D377EC">
              <w:rPr>
                <w:rFonts w:ascii="Arial" w:hAnsi="Arial" w:cs="Arial"/>
                <w:b w:val="0"/>
                <w:sz w:val="20"/>
                <w:szCs w:val="20"/>
              </w:rPr>
              <w:t>Uso frecuente de tecnologías móviles para realizar transacciones</w:t>
            </w:r>
          </w:p>
        </w:tc>
        <w:tc>
          <w:tcPr>
            <w:tcW w:w="1843" w:type="dxa"/>
          </w:tcPr>
          <w:p w14:paraId="048945D0" w14:textId="77777777" w:rsidR="00911D91" w:rsidRPr="00D377EC" w:rsidRDefault="00911D91" w:rsidP="00911D91">
            <w:pPr>
              <w:spacing w:line="276" w:lineRule="auto"/>
              <w:ind w:firstLine="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B050"/>
                <w:sz w:val="20"/>
                <w:szCs w:val="20"/>
              </w:rPr>
            </w:pPr>
            <w:r w:rsidRPr="00D377EC">
              <w:rPr>
                <w:rFonts w:ascii="Arial" w:hAnsi="Arial" w:cs="Arial"/>
                <w:color w:val="00B050"/>
                <w:sz w:val="20"/>
                <w:szCs w:val="20"/>
              </w:rPr>
              <w:t>17%</w:t>
            </w:r>
          </w:p>
        </w:tc>
        <w:tc>
          <w:tcPr>
            <w:tcW w:w="1695" w:type="dxa"/>
          </w:tcPr>
          <w:p w14:paraId="2147E673" w14:textId="77777777" w:rsidR="00911D91" w:rsidRPr="00D377EC" w:rsidRDefault="00911D91" w:rsidP="00911D91">
            <w:pPr>
              <w:spacing w:line="276" w:lineRule="auto"/>
              <w:ind w:firstLine="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B050"/>
                <w:sz w:val="20"/>
                <w:szCs w:val="20"/>
              </w:rPr>
            </w:pPr>
            <w:r w:rsidRPr="00D377EC">
              <w:rPr>
                <w:rFonts w:ascii="Arial" w:hAnsi="Arial" w:cs="Arial"/>
                <w:color w:val="00B050"/>
                <w:sz w:val="20"/>
                <w:szCs w:val="20"/>
              </w:rPr>
              <w:t>38,94%</w:t>
            </w:r>
          </w:p>
        </w:tc>
      </w:tr>
      <w:tr w:rsidR="00911D91" w:rsidRPr="00D377EC" w14:paraId="7EE7123C" w14:textId="77777777" w:rsidTr="005E5F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812" w:type="dxa"/>
          </w:tcPr>
          <w:p w14:paraId="39C874B9" w14:textId="77777777" w:rsidR="00911D91" w:rsidRPr="00D377EC" w:rsidRDefault="00911D91" w:rsidP="00911D91">
            <w:pPr>
              <w:spacing w:line="276" w:lineRule="auto"/>
              <w:ind w:firstLine="0"/>
              <w:rPr>
                <w:rFonts w:ascii="Arial" w:hAnsi="Arial" w:cs="Arial"/>
                <w:b w:val="0"/>
                <w:bCs/>
                <w:sz w:val="20"/>
                <w:szCs w:val="20"/>
              </w:rPr>
            </w:pPr>
            <w:r w:rsidRPr="00D377EC">
              <w:rPr>
                <w:rFonts w:ascii="Arial" w:hAnsi="Arial" w:cs="Arial"/>
                <w:b w:val="0"/>
                <w:sz w:val="20"/>
                <w:szCs w:val="20"/>
              </w:rPr>
              <w:t>Ahorro activo</w:t>
            </w:r>
          </w:p>
        </w:tc>
        <w:tc>
          <w:tcPr>
            <w:tcW w:w="1843" w:type="dxa"/>
          </w:tcPr>
          <w:p w14:paraId="5A32A1D7" w14:textId="77777777" w:rsidR="00911D91" w:rsidRPr="00D377EC" w:rsidRDefault="00911D91" w:rsidP="00911D91">
            <w:pPr>
              <w:spacing w:line="276" w:lineRule="auto"/>
              <w:ind w:firstLine="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B050"/>
                <w:sz w:val="20"/>
                <w:szCs w:val="20"/>
              </w:rPr>
            </w:pPr>
            <w:r w:rsidRPr="00D377EC">
              <w:rPr>
                <w:rFonts w:ascii="Arial" w:hAnsi="Arial" w:cs="Arial"/>
                <w:color w:val="00B050"/>
                <w:sz w:val="20"/>
                <w:szCs w:val="20"/>
              </w:rPr>
              <w:t>38%</w:t>
            </w:r>
          </w:p>
        </w:tc>
        <w:tc>
          <w:tcPr>
            <w:tcW w:w="1695" w:type="dxa"/>
          </w:tcPr>
          <w:p w14:paraId="63779DA1" w14:textId="77777777" w:rsidR="00911D91" w:rsidRPr="00D377EC" w:rsidRDefault="00911D91" w:rsidP="00911D91">
            <w:pPr>
              <w:spacing w:line="276" w:lineRule="auto"/>
              <w:ind w:firstLine="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B050"/>
                <w:sz w:val="20"/>
                <w:szCs w:val="20"/>
              </w:rPr>
            </w:pPr>
            <w:r w:rsidRPr="00D377EC">
              <w:rPr>
                <w:rFonts w:ascii="Arial" w:hAnsi="Arial" w:cs="Arial"/>
                <w:color w:val="00B050"/>
                <w:sz w:val="20"/>
                <w:szCs w:val="20"/>
              </w:rPr>
              <w:t>61,40%</w:t>
            </w:r>
          </w:p>
        </w:tc>
      </w:tr>
      <w:tr w:rsidR="00911D91" w:rsidRPr="00D377EC" w14:paraId="3712BD9A" w14:textId="77777777" w:rsidTr="005E5F10">
        <w:tc>
          <w:tcPr>
            <w:cnfStyle w:val="001000000000" w:firstRow="0" w:lastRow="0" w:firstColumn="1" w:lastColumn="0" w:oddVBand="0" w:evenVBand="0" w:oddHBand="0" w:evenHBand="0" w:firstRowFirstColumn="0" w:firstRowLastColumn="0" w:lastRowFirstColumn="0" w:lastRowLastColumn="0"/>
            <w:tcW w:w="5812" w:type="dxa"/>
          </w:tcPr>
          <w:p w14:paraId="01B38575" w14:textId="77777777" w:rsidR="00911D91" w:rsidRPr="00D377EC" w:rsidRDefault="00911D91" w:rsidP="00911D91">
            <w:pPr>
              <w:spacing w:line="276" w:lineRule="auto"/>
              <w:ind w:firstLine="0"/>
              <w:rPr>
                <w:rFonts w:ascii="Arial" w:hAnsi="Arial" w:cs="Arial"/>
                <w:b w:val="0"/>
                <w:bCs/>
                <w:sz w:val="20"/>
                <w:szCs w:val="20"/>
              </w:rPr>
            </w:pPr>
            <w:r w:rsidRPr="00D377EC">
              <w:rPr>
                <w:rFonts w:ascii="Arial" w:hAnsi="Arial" w:cs="Arial"/>
                <w:b w:val="0"/>
                <w:sz w:val="20"/>
                <w:szCs w:val="20"/>
              </w:rPr>
              <w:t>Ahorro en el hogar/alcancía</w:t>
            </w:r>
          </w:p>
        </w:tc>
        <w:tc>
          <w:tcPr>
            <w:tcW w:w="1843" w:type="dxa"/>
          </w:tcPr>
          <w:p w14:paraId="5F137E24" w14:textId="77777777" w:rsidR="00911D91" w:rsidRPr="00D377EC" w:rsidRDefault="00911D91" w:rsidP="00911D91">
            <w:pPr>
              <w:spacing w:line="276" w:lineRule="auto"/>
              <w:ind w:firstLine="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D377EC">
              <w:rPr>
                <w:rFonts w:ascii="Arial" w:hAnsi="Arial" w:cs="Arial"/>
                <w:sz w:val="20"/>
                <w:szCs w:val="20"/>
              </w:rPr>
              <w:t>72%</w:t>
            </w:r>
          </w:p>
        </w:tc>
        <w:tc>
          <w:tcPr>
            <w:tcW w:w="1695" w:type="dxa"/>
          </w:tcPr>
          <w:p w14:paraId="09DB2478" w14:textId="77777777" w:rsidR="00911D91" w:rsidRPr="00D377EC" w:rsidRDefault="00911D91" w:rsidP="00911D91">
            <w:pPr>
              <w:spacing w:line="276" w:lineRule="auto"/>
              <w:ind w:firstLine="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D377EC">
              <w:rPr>
                <w:rFonts w:ascii="Arial" w:hAnsi="Arial" w:cs="Arial"/>
                <w:sz w:val="20"/>
                <w:szCs w:val="20"/>
              </w:rPr>
              <w:t>72,7%</w:t>
            </w:r>
          </w:p>
        </w:tc>
      </w:tr>
      <w:tr w:rsidR="00911D91" w:rsidRPr="00D377EC" w14:paraId="5A846475" w14:textId="77777777" w:rsidTr="005E5F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812" w:type="dxa"/>
          </w:tcPr>
          <w:p w14:paraId="650084A6" w14:textId="77777777" w:rsidR="00911D91" w:rsidRPr="00D377EC" w:rsidRDefault="00911D91" w:rsidP="00911D91">
            <w:pPr>
              <w:spacing w:line="276" w:lineRule="auto"/>
              <w:ind w:firstLine="0"/>
              <w:rPr>
                <w:rFonts w:ascii="Arial" w:hAnsi="Arial" w:cs="Arial"/>
                <w:b w:val="0"/>
                <w:bCs/>
                <w:sz w:val="20"/>
                <w:szCs w:val="20"/>
              </w:rPr>
            </w:pPr>
            <w:r w:rsidRPr="00D377EC">
              <w:rPr>
                <w:rFonts w:ascii="Arial" w:hAnsi="Arial" w:cs="Arial"/>
                <w:b w:val="0"/>
                <w:sz w:val="20"/>
                <w:szCs w:val="20"/>
              </w:rPr>
              <w:t>Ahorro en cuenta bancaria</w:t>
            </w:r>
          </w:p>
        </w:tc>
        <w:tc>
          <w:tcPr>
            <w:tcW w:w="1843" w:type="dxa"/>
          </w:tcPr>
          <w:p w14:paraId="5FEDCDFD" w14:textId="77777777" w:rsidR="00911D91" w:rsidRPr="00D377EC" w:rsidRDefault="00911D91" w:rsidP="00911D91">
            <w:pPr>
              <w:spacing w:line="276" w:lineRule="auto"/>
              <w:ind w:firstLine="0"/>
              <w:jc w:val="center"/>
              <w:cnfStyle w:val="000000100000" w:firstRow="0" w:lastRow="0" w:firstColumn="0" w:lastColumn="0" w:oddVBand="0" w:evenVBand="0" w:oddHBand="1" w:evenHBand="0" w:firstRowFirstColumn="0" w:firstRowLastColumn="0" w:lastRowFirstColumn="0" w:lastRowLastColumn="0"/>
              <w:rPr>
                <w:rFonts w:ascii="Arial" w:hAnsi="Arial" w:cs="Arial"/>
                <w:color w:val="FF0000"/>
                <w:sz w:val="20"/>
                <w:szCs w:val="20"/>
              </w:rPr>
            </w:pPr>
            <w:r w:rsidRPr="00D377EC">
              <w:rPr>
                <w:rFonts w:ascii="Arial" w:hAnsi="Arial" w:cs="Arial"/>
                <w:color w:val="FF0000"/>
                <w:sz w:val="20"/>
                <w:szCs w:val="20"/>
              </w:rPr>
              <w:t>47%</w:t>
            </w:r>
          </w:p>
        </w:tc>
        <w:tc>
          <w:tcPr>
            <w:tcW w:w="1695" w:type="dxa"/>
          </w:tcPr>
          <w:p w14:paraId="41043C26" w14:textId="77777777" w:rsidR="00911D91" w:rsidRPr="00D377EC" w:rsidRDefault="00911D91" w:rsidP="00911D91">
            <w:pPr>
              <w:spacing w:line="276" w:lineRule="auto"/>
              <w:ind w:firstLine="0"/>
              <w:jc w:val="center"/>
              <w:cnfStyle w:val="000000100000" w:firstRow="0" w:lastRow="0" w:firstColumn="0" w:lastColumn="0" w:oddVBand="0" w:evenVBand="0" w:oddHBand="1" w:evenHBand="0" w:firstRowFirstColumn="0" w:firstRowLastColumn="0" w:lastRowFirstColumn="0" w:lastRowLastColumn="0"/>
              <w:rPr>
                <w:rFonts w:ascii="Arial" w:hAnsi="Arial" w:cs="Arial"/>
                <w:color w:val="FF0000"/>
                <w:sz w:val="20"/>
                <w:szCs w:val="20"/>
              </w:rPr>
            </w:pPr>
            <w:r w:rsidRPr="00D377EC">
              <w:rPr>
                <w:rFonts w:ascii="Arial" w:hAnsi="Arial" w:cs="Arial"/>
                <w:color w:val="FF0000"/>
                <w:sz w:val="20"/>
                <w:szCs w:val="20"/>
              </w:rPr>
              <w:t>30,3%</w:t>
            </w:r>
          </w:p>
        </w:tc>
      </w:tr>
      <w:tr w:rsidR="00911D91" w:rsidRPr="00D377EC" w14:paraId="72331B80" w14:textId="77777777" w:rsidTr="005E5F10">
        <w:tc>
          <w:tcPr>
            <w:cnfStyle w:val="001000000000" w:firstRow="0" w:lastRow="0" w:firstColumn="1" w:lastColumn="0" w:oddVBand="0" w:evenVBand="0" w:oddHBand="0" w:evenHBand="0" w:firstRowFirstColumn="0" w:firstRowLastColumn="0" w:lastRowFirstColumn="0" w:lastRowLastColumn="0"/>
            <w:tcW w:w="5812" w:type="dxa"/>
          </w:tcPr>
          <w:p w14:paraId="240EB080" w14:textId="77777777" w:rsidR="00911D91" w:rsidRPr="00D377EC" w:rsidRDefault="00911D91" w:rsidP="00911D91">
            <w:pPr>
              <w:spacing w:line="276" w:lineRule="auto"/>
              <w:ind w:firstLine="0"/>
              <w:rPr>
                <w:rFonts w:ascii="Arial" w:hAnsi="Arial" w:cs="Arial"/>
                <w:b w:val="0"/>
                <w:bCs/>
                <w:sz w:val="20"/>
                <w:szCs w:val="20"/>
              </w:rPr>
            </w:pPr>
            <w:r w:rsidRPr="00D377EC">
              <w:rPr>
                <w:rFonts w:ascii="Arial" w:hAnsi="Arial" w:cs="Arial"/>
                <w:b w:val="0"/>
                <w:sz w:val="20"/>
                <w:szCs w:val="20"/>
              </w:rPr>
              <w:t>Establecimiento de metas financieras</w:t>
            </w:r>
          </w:p>
        </w:tc>
        <w:tc>
          <w:tcPr>
            <w:tcW w:w="1843" w:type="dxa"/>
          </w:tcPr>
          <w:p w14:paraId="6295E9BA" w14:textId="77777777" w:rsidR="00911D91" w:rsidRPr="00D377EC" w:rsidRDefault="00911D91" w:rsidP="00911D91">
            <w:pPr>
              <w:spacing w:line="276" w:lineRule="auto"/>
              <w:ind w:firstLine="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B050"/>
                <w:sz w:val="20"/>
                <w:szCs w:val="20"/>
              </w:rPr>
            </w:pPr>
            <w:r w:rsidRPr="00D377EC">
              <w:rPr>
                <w:rFonts w:ascii="Arial" w:hAnsi="Arial" w:cs="Arial"/>
                <w:color w:val="00B050"/>
                <w:sz w:val="20"/>
                <w:szCs w:val="20"/>
              </w:rPr>
              <w:t>41%</w:t>
            </w:r>
          </w:p>
        </w:tc>
        <w:tc>
          <w:tcPr>
            <w:tcW w:w="1695" w:type="dxa"/>
          </w:tcPr>
          <w:p w14:paraId="2C346C7F" w14:textId="77777777" w:rsidR="00911D91" w:rsidRPr="00D377EC" w:rsidRDefault="00911D91" w:rsidP="00911D91">
            <w:pPr>
              <w:spacing w:line="276" w:lineRule="auto"/>
              <w:ind w:firstLine="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B050"/>
                <w:sz w:val="20"/>
                <w:szCs w:val="20"/>
              </w:rPr>
            </w:pPr>
            <w:r w:rsidRPr="00D377EC">
              <w:rPr>
                <w:rFonts w:ascii="Arial" w:hAnsi="Arial" w:cs="Arial"/>
                <w:color w:val="00B050"/>
                <w:sz w:val="20"/>
                <w:szCs w:val="20"/>
              </w:rPr>
              <w:t>60,65%</w:t>
            </w:r>
          </w:p>
        </w:tc>
      </w:tr>
      <w:tr w:rsidR="00911D91" w:rsidRPr="00D377EC" w14:paraId="2CEA0484" w14:textId="77777777" w:rsidTr="005E5F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812" w:type="dxa"/>
          </w:tcPr>
          <w:p w14:paraId="2DB2F5C3" w14:textId="77777777" w:rsidR="00911D91" w:rsidRPr="00D377EC" w:rsidRDefault="00911D91" w:rsidP="00911D91">
            <w:pPr>
              <w:spacing w:line="276" w:lineRule="auto"/>
              <w:ind w:firstLine="0"/>
              <w:rPr>
                <w:rFonts w:ascii="Arial" w:hAnsi="Arial" w:cs="Arial"/>
                <w:b w:val="0"/>
                <w:bCs/>
                <w:sz w:val="20"/>
                <w:szCs w:val="20"/>
              </w:rPr>
            </w:pPr>
            <w:r w:rsidRPr="00D377EC">
              <w:rPr>
                <w:rFonts w:ascii="Arial" w:hAnsi="Arial" w:cs="Arial"/>
                <w:b w:val="0"/>
                <w:sz w:val="20"/>
                <w:szCs w:val="20"/>
              </w:rPr>
              <w:t>Reducción de gastos para llegar a fin de mes</w:t>
            </w:r>
          </w:p>
        </w:tc>
        <w:tc>
          <w:tcPr>
            <w:tcW w:w="1843" w:type="dxa"/>
          </w:tcPr>
          <w:p w14:paraId="458B01D9" w14:textId="77777777" w:rsidR="00911D91" w:rsidRPr="00D377EC" w:rsidRDefault="00911D91" w:rsidP="00911D91">
            <w:pPr>
              <w:spacing w:line="276" w:lineRule="auto"/>
              <w:ind w:firstLine="0"/>
              <w:jc w:val="center"/>
              <w:cnfStyle w:val="000000100000" w:firstRow="0" w:lastRow="0" w:firstColumn="0" w:lastColumn="0" w:oddVBand="0" w:evenVBand="0" w:oddHBand="1" w:evenHBand="0" w:firstRowFirstColumn="0" w:firstRowLastColumn="0" w:lastRowFirstColumn="0" w:lastRowLastColumn="0"/>
              <w:rPr>
                <w:rFonts w:ascii="Arial" w:hAnsi="Arial" w:cs="Arial"/>
                <w:color w:val="FF0000"/>
                <w:sz w:val="20"/>
                <w:szCs w:val="20"/>
              </w:rPr>
            </w:pPr>
            <w:r w:rsidRPr="00D377EC">
              <w:rPr>
                <w:rFonts w:ascii="Arial" w:hAnsi="Arial" w:cs="Arial"/>
                <w:color w:val="FF0000"/>
                <w:sz w:val="20"/>
                <w:szCs w:val="20"/>
              </w:rPr>
              <w:t>69%</w:t>
            </w:r>
          </w:p>
        </w:tc>
        <w:tc>
          <w:tcPr>
            <w:tcW w:w="1695" w:type="dxa"/>
          </w:tcPr>
          <w:p w14:paraId="00D2AAAB" w14:textId="77777777" w:rsidR="00911D91" w:rsidRPr="00D377EC" w:rsidRDefault="00911D91" w:rsidP="00911D91">
            <w:pPr>
              <w:spacing w:line="276" w:lineRule="auto"/>
              <w:ind w:firstLine="0"/>
              <w:jc w:val="center"/>
              <w:cnfStyle w:val="000000100000" w:firstRow="0" w:lastRow="0" w:firstColumn="0" w:lastColumn="0" w:oddVBand="0" w:evenVBand="0" w:oddHBand="1" w:evenHBand="0" w:firstRowFirstColumn="0" w:firstRowLastColumn="0" w:lastRowFirstColumn="0" w:lastRowLastColumn="0"/>
              <w:rPr>
                <w:rFonts w:ascii="Arial" w:hAnsi="Arial" w:cs="Arial"/>
                <w:color w:val="FF0000"/>
                <w:sz w:val="20"/>
                <w:szCs w:val="20"/>
              </w:rPr>
            </w:pPr>
            <w:r w:rsidRPr="00D377EC">
              <w:rPr>
                <w:rFonts w:ascii="Arial" w:hAnsi="Arial" w:cs="Arial"/>
                <w:color w:val="FF0000"/>
                <w:sz w:val="20"/>
                <w:szCs w:val="20"/>
              </w:rPr>
              <w:t>28,3%</w:t>
            </w:r>
          </w:p>
        </w:tc>
      </w:tr>
      <w:tr w:rsidR="00911D91" w:rsidRPr="00D377EC" w14:paraId="09B92DA9" w14:textId="77777777" w:rsidTr="005E5F10">
        <w:tc>
          <w:tcPr>
            <w:cnfStyle w:val="001000000000" w:firstRow="0" w:lastRow="0" w:firstColumn="1" w:lastColumn="0" w:oddVBand="0" w:evenVBand="0" w:oddHBand="0" w:evenHBand="0" w:firstRowFirstColumn="0" w:firstRowLastColumn="0" w:lastRowFirstColumn="0" w:lastRowLastColumn="0"/>
            <w:tcW w:w="5812" w:type="dxa"/>
          </w:tcPr>
          <w:p w14:paraId="28BBFDBE" w14:textId="77777777" w:rsidR="00911D91" w:rsidRPr="00D377EC" w:rsidRDefault="00911D91" w:rsidP="00911D91">
            <w:pPr>
              <w:spacing w:line="276" w:lineRule="auto"/>
              <w:ind w:firstLine="0"/>
              <w:rPr>
                <w:rFonts w:ascii="Arial" w:hAnsi="Arial" w:cs="Arial"/>
                <w:b w:val="0"/>
                <w:bCs/>
                <w:sz w:val="20"/>
                <w:szCs w:val="20"/>
              </w:rPr>
            </w:pPr>
            <w:r w:rsidRPr="00D377EC">
              <w:rPr>
                <w:rFonts w:ascii="Arial" w:hAnsi="Arial" w:cs="Arial"/>
                <w:b w:val="0"/>
                <w:sz w:val="20"/>
                <w:szCs w:val="20"/>
              </w:rPr>
              <w:t>Adquisición de créditos para llegar a fin de mes</w:t>
            </w:r>
          </w:p>
        </w:tc>
        <w:tc>
          <w:tcPr>
            <w:tcW w:w="1843" w:type="dxa"/>
          </w:tcPr>
          <w:p w14:paraId="4F02336F" w14:textId="77777777" w:rsidR="00911D91" w:rsidRPr="00D377EC" w:rsidRDefault="00911D91" w:rsidP="00911D91">
            <w:pPr>
              <w:spacing w:line="276" w:lineRule="auto"/>
              <w:ind w:firstLine="0"/>
              <w:jc w:val="center"/>
              <w:cnfStyle w:val="000000000000" w:firstRow="0" w:lastRow="0" w:firstColumn="0" w:lastColumn="0" w:oddVBand="0" w:evenVBand="0" w:oddHBand="0" w:evenHBand="0" w:firstRowFirstColumn="0" w:firstRowLastColumn="0" w:lastRowFirstColumn="0" w:lastRowLastColumn="0"/>
              <w:rPr>
                <w:rFonts w:ascii="Arial" w:hAnsi="Arial" w:cs="Arial"/>
                <w:color w:val="FF0000"/>
                <w:sz w:val="20"/>
                <w:szCs w:val="20"/>
              </w:rPr>
            </w:pPr>
            <w:r w:rsidRPr="00D377EC">
              <w:rPr>
                <w:rFonts w:ascii="Arial" w:hAnsi="Arial" w:cs="Arial"/>
                <w:color w:val="FF0000"/>
                <w:sz w:val="20"/>
                <w:szCs w:val="20"/>
              </w:rPr>
              <w:t>22%</w:t>
            </w:r>
          </w:p>
        </w:tc>
        <w:tc>
          <w:tcPr>
            <w:tcW w:w="1695" w:type="dxa"/>
          </w:tcPr>
          <w:p w14:paraId="227BFD82" w14:textId="77777777" w:rsidR="00911D91" w:rsidRPr="00D377EC" w:rsidRDefault="00911D91" w:rsidP="00911D91">
            <w:pPr>
              <w:spacing w:line="276" w:lineRule="auto"/>
              <w:ind w:firstLine="0"/>
              <w:jc w:val="center"/>
              <w:cnfStyle w:val="000000000000" w:firstRow="0" w:lastRow="0" w:firstColumn="0" w:lastColumn="0" w:oddVBand="0" w:evenVBand="0" w:oddHBand="0" w:evenHBand="0" w:firstRowFirstColumn="0" w:firstRowLastColumn="0" w:lastRowFirstColumn="0" w:lastRowLastColumn="0"/>
              <w:rPr>
                <w:rFonts w:ascii="Arial" w:hAnsi="Arial" w:cs="Arial"/>
                <w:color w:val="FF0000"/>
                <w:sz w:val="20"/>
                <w:szCs w:val="20"/>
              </w:rPr>
            </w:pPr>
            <w:r w:rsidRPr="00D377EC">
              <w:rPr>
                <w:rFonts w:ascii="Arial" w:hAnsi="Arial" w:cs="Arial"/>
                <w:color w:val="FF0000"/>
                <w:sz w:val="20"/>
                <w:szCs w:val="20"/>
              </w:rPr>
              <w:t>4,7%</w:t>
            </w:r>
          </w:p>
        </w:tc>
      </w:tr>
      <w:tr w:rsidR="00911D91" w:rsidRPr="00D377EC" w14:paraId="4F9093C4" w14:textId="77777777" w:rsidTr="005E5F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812" w:type="dxa"/>
          </w:tcPr>
          <w:p w14:paraId="2019602C" w14:textId="77777777" w:rsidR="00911D91" w:rsidRPr="00D377EC" w:rsidRDefault="00911D91" w:rsidP="00911D91">
            <w:pPr>
              <w:spacing w:line="276" w:lineRule="auto"/>
              <w:ind w:firstLine="0"/>
              <w:rPr>
                <w:rFonts w:ascii="Arial" w:hAnsi="Arial" w:cs="Arial"/>
                <w:b w:val="0"/>
                <w:bCs/>
                <w:sz w:val="20"/>
                <w:szCs w:val="20"/>
              </w:rPr>
            </w:pPr>
            <w:r w:rsidRPr="00D377EC">
              <w:rPr>
                <w:rFonts w:ascii="Arial" w:hAnsi="Arial" w:cs="Arial"/>
                <w:b w:val="0"/>
                <w:sz w:val="20"/>
                <w:szCs w:val="20"/>
              </w:rPr>
              <w:t>Solicitud de dinero a familiares o amigos para llegar a fin de mes</w:t>
            </w:r>
          </w:p>
        </w:tc>
        <w:tc>
          <w:tcPr>
            <w:tcW w:w="1843" w:type="dxa"/>
          </w:tcPr>
          <w:p w14:paraId="088B3F2C" w14:textId="77777777" w:rsidR="00911D91" w:rsidRPr="00D377EC" w:rsidRDefault="00911D91" w:rsidP="00911D91">
            <w:pPr>
              <w:spacing w:line="276" w:lineRule="auto"/>
              <w:ind w:firstLine="0"/>
              <w:jc w:val="center"/>
              <w:cnfStyle w:val="000000100000" w:firstRow="0" w:lastRow="0" w:firstColumn="0" w:lastColumn="0" w:oddVBand="0" w:evenVBand="0" w:oddHBand="1" w:evenHBand="0" w:firstRowFirstColumn="0" w:firstRowLastColumn="0" w:lastRowFirstColumn="0" w:lastRowLastColumn="0"/>
              <w:rPr>
                <w:rFonts w:ascii="Arial" w:hAnsi="Arial" w:cs="Arial"/>
                <w:color w:val="FF0000"/>
                <w:sz w:val="20"/>
                <w:szCs w:val="20"/>
              </w:rPr>
            </w:pPr>
            <w:r w:rsidRPr="00D377EC">
              <w:rPr>
                <w:rFonts w:ascii="Arial" w:hAnsi="Arial" w:cs="Arial"/>
                <w:color w:val="FF0000"/>
                <w:sz w:val="20"/>
                <w:szCs w:val="20"/>
              </w:rPr>
              <w:t>44%</w:t>
            </w:r>
          </w:p>
        </w:tc>
        <w:tc>
          <w:tcPr>
            <w:tcW w:w="1695" w:type="dxa"/>
          </w:tcPr>
          <w:p w14:paraId="61031D86" w14:textId="77777777" w:rsidR="00911D91" w:rsidRPr="00D377EC" w:rsidRDefault="00911D91" w:rsidP="00911D91">
            <w:pPr>
              <w:spacing w:line="276" w:lineRule="auto"/>
              <w:ind w:firstLine="0"/>
              <w:jc w:val="center"/>
              <w:cnfStyle w:val="000000100000" w:firstRow="0" w:lastRow="0" w:firstColumn="0" w:lastColumn="0" w:oddVBand="0" w:evenVBand="0" w:oddHBand="1" w:evenHBand="0" w:firstRowFirstColumn="0" w:firstRowLastColumn="0" w:lastRowFirstColumn="0" w:lastRowLastColumn="0"/>
              <w:rPr>
                <w:rFonts w:ascii="Arial" w:hAnsi="Arial" w:cs="Arial"/>
                <w:color w:val="FF0000"/>
                <w:sz w:val="20"/>
                <w:szCs w:val="20"/>
              </w:rPr>
            </w:pPr>
            <w:r w:rsidRPr="00D377EC">
              <w:rPr>
                <w:rFonts w:ascii="Arial" w:hAnsi="Arial" w:cs="Arial"/>
                <w:color w:val="FF0000"/>
                <w:sz w:val="20"/>
                <w:szCs w:val="20"/>
              </w:rPr>
              <w:t>6,3%</w:t>
            </w:r>
          </w:p>
        </w:tc>
      </w:tr>
      <w:tr w:rsidR="00911D91" w:rsidRPr="00D377EC" w14:paraId="235F4F22" w14:textId="77777777" w:rsidTr="005E5F10">
        <w:tc>
          <w:tcPr>
            <w:cnfStyle w:val="001000000000" w:firstRow="0" w:lastRow="0" w:firstColumn="1" w:lastColumn="0" w:oddVBand="0" w:evenVBand="0" w:oddHBand="0" w:evenHBand="0" w:firstRowFirstColumn="0" w:firstRowLastColumn="0" w:lastRowFirstColumn="0" w:lastRowLastColumn="0"/>
            <w:tcW w:w="5812" w:type="dxa"/>
          </w:tcPr>
          <w:p w14:paraId="7881AA3B" w14:textId="77777777" w:rsidR="00911D91" w:rsidRPr="00D377EC" w:rsidRDefault="00911D91" w:rsidP="00911D91">
            <w:pPr>
              <w:spacing w:line="276" w:lineRule="auto"/>
              <w:ind w:firstLine="0"/>
              <w:rPr>
                <w:rFonts w:ascii="Arial" w:hAnsi="Arial" w:cs="Arial"/>
                <w:b w:val="0"/>
                <w:bCs/>
                <w:sz w:val="20"/>
                <w:szCs w:val="20"/>
              </w:rPr>
            </w:pPr>
            <w:r w:rsidRPr="00D377EC">
              <w:rPr>
                <w:rFonts w:ascii="Arial" w:hAnsi="Arial" w:cs="Arial"/>
                <w:b w:val="0"/>
                <w:sz w:val="20"/>
                <w:szCs w:val="20"/>
              </w:rPr>
              <w:t>Trabajo de horas extra para llegar a fin de mes</w:t>
            </w:r>
          </w:p>
        </w:tc>
        <w:tc>
          <w:tcPr>
            <w:tcW w:w="1843" w:type="dxa"/>
          </w:tcPr>
          <w:p w14:paraId="216C8615" w14:textId="77777777" w:rsidR="00911D91" w:rsidRPr="00D377EC" w:rsidRDefault="00911D91" w:rsidP="00911D91">
            <w:pPr>
              <w:spacing w:line="276" w:lineRule="auto"/>
              <w:ind w:firstLine="0"/>
              <w:jc w:val="center"/>
              <w:cnfStyle w:val="000000000000" w:firstRow="0" w:lastRow="0" w:firstColumn="0" w:lastColumn="0" w:oddVBand="0" w:evenVBand="0" w:oddHBand="0" w:evenHBand="0" w:firstRowFirstColumn="0" w:firstRowLastColumn="0" w:lastRowFirstColumn="0" w:lastRowLastColumn="0"/>
              <w:rPr>
                <w:rFonts w:ascii="Arial" w:hAnsi="Arial" w:cs="Arial"/>
                <w:color w:val="FF0000"/>
                <w:sz w:val="20"/>
                <w:szCs w:val="20"/>
              </w:rPr>
            </w:pPr>
            <w:r w:rsidRPr="00D377EC">
              <w:rPr>
                <w:rFonts w:ascii="Arial" w:hAnsi="Arial" w:cs="Arial"/>
                <w:color w:val="FF0000"/>
                <w:sz w:val="20"/>
                <w:szCs w:val="20"/>
              </w:rPr>
              <w:t>45%</w:t>
            </w:r>
          </w:p>
        </w:tc>
        <w:tc>
          <w:tcPr>
            <w:tcW w:w="1695" w:type="dxa"/>
          </w:tcPr>
          <w:p w14:paraId="5B6095CA" w14:textId="77777777" w:rsidR="00911D91" w:rsidRPr="00D377EC" w:rsidRDefault="00911D91" w:rsidP="00911D91">
            <w:pPr>
              <w:spacing w:line="276" w:lineRule="auto"/>
              <w:ind w:firstLine="0"/>
              <w:jc w:val="center"/>
              <w:cnfStyle w:val="000000000000" w:firstRow="0" w:lastRow="0" w:firstColumn="0" w:lastColumn="0" w:oddVBand="0" w:evenVBand="0" w:oddHBand="0" w:evenHBand="0" w:firstRowFirstColumn="0" w:firstRowLastColumn="0" w:lastRowFirstColumn="0" w:lastRowLastColumn="0"/>
              <w:rPr>
                <w:rFonts w:ascii="Arial" w:hAnsi="Arial" w:cs="Arial"/>
                <w:color w:val="FF0000"/>
                <w:sz w:val="20"/>
                <w:szCs w:val="20"/>
              </w:rPr>
            </w:pPr>
            <w:r w:rsidRPr="00D377EC">
              <w:rPr>
                <w:rFonts w:ascii="Arial" w:hAnsi="Arial" w:cs="Arial"/>
                <w:color w:val="FF0000"/>
                <w:sz w:val="20"/>
                <w:szCs w:val="20"/>
              </w:rPr>
              <w:t>13%</w:t>
            </w:r>
          </w:p>
        </w:tc>
      </w:tr>
      <w:tr w:rsidR="00911D91" w:rsidRPr="00D377EC" w14:paraId="769616A9" w14:textId="77777777" w:rsidTr="005E5F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812" w:type="dxa"/>
          </w:tcPr>
          <w:p w14:paraId="1A6BA2A5" w14:textId="77777777" w:rsidR="00911D91" w:rsidRPr="00D377EC" w:rsidRDefault="00911D91" w:rsidP="00911D91">
            <w:pPr>
              <w:spacing w:line="276" w:lineRule="auto"/>
              <w:ind w:firstLine="0"/>
              <w:rPr>
                <w:rFonts w:ascii="Arial" w:hAnsi="Arial" w:cs="Arial"/>
                <w:b w:val="0"/>
                <w:bCs/>
                <w:sz w:val="20"/>
                <w:szCs w:val="20"/>
              </w:rPr>
            </w:pPr>
            <w:r w:rsidRPr="00D377EC">
              <w:rPr>
                <w:rFonts w:ascii="Arial" w:hAnsi="Arial" w:cs="Arial"/>
                <w:b w:val="0"/>
                <w:sz w:val="20"/>
                <w:szCs w:val="20"/>
              </w:rPr>
              <w:t>Preferencia en ahorrar para el futuro que gastar el dinero hoy</w:t>
            </w:r>
          </w:p>
        </w:tc>
        <w:tc>
          <w:tcPr>
            <w:tcW w:w="1843" w:type="dxa"/>
          </w:tcPr>
          <w:p w14:paraId="2E4B5EDF" w14:textId="77777777" w:rsidR="00911D91" w:rsidRPr="00D377EC" w:rsidRDefault="00911D91" w:rsidP="00911D91">
            <w:pPr>
              <w:spacing w:line="276" w:lineRule="auto"/>
              <w:ind w:firstLine="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B050"/>
                <w:sz w:val="20"/>
                <w:szCs w:val="20"/>
              </w:rPr>
            </w:pPr>
            <w:r w:rsidRPr="00D377EC">
              <w:rPr>
                <w:rFonts w:ascii="Arial" w:hAnsi="Arial" w:cs="Arial"/>
                <w:color w:val="00B050"/>
                <w:sz w:val="20"/>
                <w:szCs w:val="20"/>
              </w:rPr>
              <w:t>17%</w:t>
            </w:r>
          </w:p>
        </w:tc>
        <w:tc>
          <w:tcPr>
            <w:tcW w:w="1695" w:type="dxa"/>
          </w:tcPr>
          <w:p w14:paraId="1C835D11" w14:textId="77777777" w:rsidR="00911D91" w:rsidRPr="00D377EC" w:rsidRDefault="00911D91" w:rsidP="00911D91">
            <w:pPr>
              <w:spacing w:line="276" w:lineRule="auto"/>
              <w:ind w:firstLine="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B050"/>
                <w:sz w:val="20"/>
                <w:szCs w:val="20"/>
              </w:rPr>
            </w:pPr>
            <w:r w:rsidRPr="00D377EC">
              <w:rPr>
                <w:rFonts w:ascii="Arial" w:hAnsi="Arial" w:cs="Arial"/>
                <w:color w:val="00B050"/>
                <w:sz w:val="20"/>
                <w:szCs w:val="20"/>
              </w:rPr>
              <w:t>48,12%</w:t>
            </w:r>
          </w:p>
        </w:tc>
      </w:tr>
      <w:tr w:rsidR="00911D91" w:rsidRPr="00D377EC" w14:paraId="24732BE1" w14:textId="77777777" w:rsidTr="005E5F10">
        <w:tc>
          <w:tcPr>
            <w:cnfStyle w:val="001000000000" w:firstRow="0" w:lastRow="0" w:firstColumn="1" w:lastColumn="0" w:oddVBand="0" w:evenVBand="0" w:oddHBand="0" w:evenHBand="0" w:firstRowFirstColumn="0" w:firstRowLastColumn="0" w:lastRowFirstColumn="0" w:lastRowLastColumn="0"/>
            <w:tcW w:w="5812" w:type="dxa"/>
          </w:tcPr>
          <w:p w14:paraId="76F04827" w14:textId="77777777" w:rsidR="00911D91" w:rsidRPr="00D377EC" w:rsidRDefault="00911D91" w:rsidP="00911D91">
            <w:pPr>
              <w:spacing w:line="276" w:lineRule="auto"/>
              <w:ind w:firstLine="0"/>
              <w:rPr>
                <w:rFonts w:ascii="Arial" w:hAnsi="Arial" w:cs="Arial"/>
                <w:b w:val="0"/>
                <w:bCs/>
                <w:sz w:val="20"/>
                <w:szCs w:val="20"/>
              </w:rPr>
            </w:pPr>
            <w:r w:rsidRPr="00D377EC">
              <w:rPr>
                <w:rFonts w:ascii="Arial" w:hAnsi="Arial" w:cs="Arial"/>
                <w:b w:val="0"/>
                <w:sz w:val="20"/>
                <w:szCs w:val="20"/>
              </w:rPr>
              <w:t>Disposición para arriesgar su dinero en inversiones</w:t>
            </w:r>
          </w:p>
        </w:tc>
        <w:tc>
          <w:tcPr>
            <w:tcW w:w="1843" w:type="dxa"/>
          </w:tcPr>
          <w:p w14:paraId="7B0CFC9F" w14:textId="77777777" w:rsidR="00911D91" w:rsidRPr="00D377EC" w:rsidRDefault="00911D91" w:rsidP="00911D91">
            <w:pPr>
              <w:spacing w:line="276" w:lineRule="auto"/>
              <w:ind w:firstLine="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B050"/>
                <w:sz w:val="20"/>
                <w:szCs w:val="20"/>
              </w:rPr>
            </w:pPr>
            <w:r w:rsidRPr="00D377EC">
              <w:rPr>
                <w:rFonts w:ascii="Arial" w:hAnsi="Arial" w:cs="Arial"/>
                <w:color w:val="00B050"/>
                <w:sz w:val="20"/>
                <w:szCs w:val="20"/>
              </w:rPr>
              <w:t>25%</w:t>
            </w:r>
          </w:p>
        </w:tc>
        <w:tc>
          <w:tcPr>
            <w:tcW w:w="1695" w:type="dxa"/>
          </w:tcPr>
          <w:p w14:paraId="3C4454BA" w14:textId="77777777" w:rsidR="00911D91" w:rsidRPr="00D377EC" w:rsidRDefault="00911D91" w:rsidP="00911D91">
            <w:pPr>
              <w:spacing w:line="276" w:lineRule="auto"/>
              <w:ind w:firstLine="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B050"/>
                <w:sz w:val="20"/>
                <w:szCs w:val="20"/>
              </w:rPr>
            </w:pPr>
            <w:r w:rsidRPr="00D377EC">
              <w:rPr>
                <w:rFonts w:ascii="Arial" w:hAnsi="Arial" w:cs="Arial"/>
                <w:color w:val="00B050"/>
                <w:sz w:val="20"/>
                <w:szCs w:val="20"/>
              </w:rPr>
              <w:t>32,08%</w:t>
            </w:r>
          </w:p>
        </w:tc>
      </w:tr>
      <w:tr w:rsidR="00911D91" w:rsidRPr="00D377EC" w14:paraId="6ABCB3F2" w14:textId="77777777" w:rsidTr="005E5F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812" w:type="dxa"/>
          </w:tcPr>
          <w:p w14:paraId="71671513" w14:textId="77777777" w:rsidR="00911D91" w:rsidRPr="00D377EC" w:rsidRDefault="00911D91" w:rsidP="00911D91">
            <w:pPr>
              <w:spacing w:line="276" w:lineRule="auto"/>
              <w:ind w:firstLine="0"/>
              <w:rPr>
                <w:rFonts w:ascii="Arial" w:hAnsi="Arial" w:cs="Arial"/>
                <w:b w:val="0"/>
                <w:bCs/>
                <w:sz w:val="20"/>
                <w:szCs w:val="20"/>
              </w:rPr>
            </w:pPr>
            <w:proofErr w:type="gramStart"/>
            <w:r w:rsidRPr="00D377EC">
              <w:rPr>
                <w:rFonts w:ascii="Arial" w:hAnsi="Arial" w:cs="Arial"/>
                <w:b w:val="0"/>
                <w:sz w:val="20"/>
                <w:szCs w:val="20"/>
              </w:rPr>
              <w:t>Total</w:t>
            </w:r>
            <w:proofErr w:type="gramEnd"/>
            <w:r w:rsidRPr="00D377EC">
              <w:rPr>
                <w:rFonts w:ascii="Arial" w:hAnsi="Arial" w:cs="Arial"/>
                <w:b w:val="0"/>
                <w:sz w:val="20"/>
                <w:szCs w:val="20"/>
              </w:rPr>
              <w:t xml:space="preserve"> satisfacción con su situación financiera actual</w:t>
            </w:r>
          </w:p>
        </w:tc>
        <w:tc>
          <w:tcPr>
            <w:tcW w:w="1843" w:type="dxa"/>
          </w:tcPr>
          <w:p w14:paraId="1AA07EE7" w14:textId="77777777" w:rsidR="00911D91" w:rsidRPr="00D377EC" w:rsidRDefault="00911D91" w:rsidP="00911D91">
            <w:pPr>
              <w:spacing w:line="276" w:lineRule="auto"/>
              <w:ind w:firstLine="0"/>
              <w:jc w:val="center"/>
              <w:cnfStyle w:val="000000100000" w:firstRow="0" w:lastRow="0" w:firstColumn="0" w:lastColumn="0" w:oddVBand="0" w:evenVBand="0" w:oddHBand="1" w:evenHBand="0" w:firstRowFirstColumn="0" w:firstRowLastColumn="0" w:lastRowFirstColumn="0" w:lastRowLastColumn="0"/>
              <w:rPr>
                <w:rFonts w:ascii="Arial" w:hAnsi="Arial" w:cs="Arial"/>
                <w:color w:val="FF0000"/>
                <w:sz w:val="20"/>
                <w:szCs w:val="20"/>
              </w:rPr>
            </w:pPr>
            <w:r w:rsidRPr="00D377EC">
              <w:rPr>
                <w:rFonts w:ascii="Arial" w:hAnsi="Arial" w:cs="Arial"/>
                <w:color w:val="FF0000"/>
                <w:sz w:val="20"/>
                <w:szCs w:val="20"/>
              </w:rPr>
              <w:t>46%</w:t>
            </w:r>
          </w:p>
        </w:tc>
        <w:tc>
          <w:tcPr>
            <w:tcW w:w="1695" w:type="dxa"/>
          </w:tcPr>
          <w:p w14:paraId="1A312748" w14:textId="77777777" w:rsidR="00911D91" w:rsidRPr="00D377EC" w:rsidRDefault="00911D91" w:rsidP="00911D91">
            <w:pPr>
              <w:spacing w:line="276" w:lineRule="auto"/>
              <w:ind w:firstLine="0"/>
              <w:jc w:val="center"/>
              <w:cnfStyle w:val="000000100000" w:firstRow="0" w:lastRow="0" w:firstColumn="0" w:lastColumn="0" w:oddVBand="0" w:evenVBand="0" w:oddHBand="1" w:evenHBand="0" w:firstRowFirstColumn="0" w:firstRowLastColumn="0" w:lastRowFirstColumn="0" w:lastRowLastColumn="0"/>
              <w:rPr>
                <w:rFonts w:ascii="Arial" w:hAnsi="Arial" w:cs="Arial"/>
                <w:color w:val="FF0000"/>
                <w:sz w:val="20"/>
                <w:szCs w:val="20"/>
              </w:rPr>
            </w:pPr>
            <w:r w:rsidRPr="00D377EC">
              <w:rPr>
                <w:rFonts w:ascii="Arial" w:hAnsi="Arial" w:cs="Arial"/>
                <w:color w:val="FF0000"/>
                <w:sz w:val="20"/>
                <w:szCs w:val="20"/>
              </w:rPr>
              <w:t>8,52%</w:t>
            </w:r>
          </w:p>
        </w:tc>
      </w:tr>
      <w:tr w:rsidR="00911D91" w:rsidRPr="00D377EC" w14:paraId="2A5231C0" w14:textId="77777777" w:rsidTr="005E5F10">
        <w:tc>
          <w:tcPr>
            <w:cnfStyle w:val="001000000000" w:firstRow="0" w:lastRow="0" w:firstColumn="1" w:lastColumn="0" w:oddVBand="0" w:evenVBand="0" w:oddHBand="0" w:evenHBand="0" w:firstRowFirstColumn="0" w:firstRowLastColumn="0" w:lastRowFirstColumn="0" w:lastRowLastColumn="0"/>
            <w:tcW w:w="5812" w:type="dxa"/>
          </w:tcPr>
          <w:p w14:paraId="64502CFE" w14:textId="77777777" w:rsidR="00911D91" w:rsidRPr="00D377EC" w:rsidRDefault="00911D91" w:rsidP="00911D91">
            <w:pPr>
              <w:spacing w:line="276" w:lineRule="auto"/>
              <w:ind w:firstLine="0"/>
              <w:rPr>
                <w:rFonts w:ascii="Arial" w:hAnsi="Arial" w:cs="Arial"/>
                <w:b w:val="0"/>
                <w:bCs/>
                <w:sz w:val="20"/>
                <w:szCs w:val="20"/>
              </w:rPr>
            </w:pPr>
            <w:r w:rsidRPr="00D377EC">
              <w:rPr>
                <w:rFonts w:ascii="Arial" w:hAnsi="Arial" w:cs="Arial"/>
                <w:b w:val="0"/>
                <w:sz w:val="20"/>
                <w:szCs w:val="20"/>
              </w:rPr>
              <w:t>Alto nivel de autoconfianza en manejo de finanzas</w:t>
            </w:r>
          </w:p>
        </w:tc>
        <w:tc>
          <w:tcPr>
            <w:tcW w:w="1843" w:type="dxa"/>
          </w:tcPr>
          <w:p w14:paraId="72DB038E" w14:textId="77777777" w:rsidR="00911D91" w:rsidRPr="00D377EC" w:rsidRDefault="00911D91" w:rsidP="00911D91">
            <w:pPr>
              <w:spacing w:line="276" w:lineRule="auto"/>
              <w:ind w:firstLine="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B050"/>
                <w:sz w:val="20"/>
                <w:szCs w:val="20"/>
              </w:rPr>
            </w:pPr>
            <w:r w:rsidRPr="00D377EC">
              <w:rPr>
                <w:rFonts w:ascii="Arial" w:hAnsi="Arial" w:cs="Arial"/>
                <w:color w:val="00B050"/>
                <w:sz w:val="20"/>
                <w:szCs w:val="20"/>
              </w:rPr>
              <w:t>14%</w:t>
            </w:r>
          </w:p>
        </w:tc>
        <w:tc>
          <w:tcPr>
            <w:tcW w:w="1695" w:type="dxa"/>
          </w:tcPr>
          <w:p w14:paraId="57246561" w14:textId="77777777" w:rsidR="00911D91" w:rsidRPr="00D377EC" w:rsidRDefault="00911D91" w:rsidP="00911D91">
            <w:pPr>
              <w:spacing w:line="276" w:lineRule="auto"/>
              <w:ind w:firstLine="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B050"/>
                <w:sz w:val="20"/>
                <w:szCs w:val="20"/>
              </w:rPr>
            </w:pPr>
            <w:r w:rsidRPr="00D377EC">
              <w:rPr>
                <w:rFonts w:ascii="Arial" w:hAnsi="Arial" w:cs="Arial"/>
                <w:color w:val="00B050"/>
                <w:sz w:val="20"/>
                <w:szCs w:val="20"/>
              </w:rPr>
              <w:t>60,4%</w:t>
            </w:r>
          </w:p>
        </w:tc>
      </w:tr>
      <w:tr w:rsidR="00911D91" w:rsidRPr="00D377EC" w14:paraId="60B7E526" w14:textId="77777777" w:rsidTr="005E5F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812" w:type="dxa"/>
          </w:tcPr>
          <w:p w14:paraId="2E4B61BA" w14:textId="77777777" w:rsidR="00911D91" w:rsidRPr="00D377EC" w:rsidRDefault="00911D91" w:rsidP="00911D91">
            <w:pPr>
              <w:spacing w:line="276" w:lineRule="auto"/>
              <w:ind w:firstLine="0"/>
              <w:rPr>
                <w:rFonts w:ascii="Arial" w:hAnsi="Arial" w:cs="Arial"/>
                <w:b w:val="0"/>
                <w:bCs/>
                <w:sz w:val="20"/>
                <w:szCs w:val="20"/>
              </w:rPr>
            </w:pPr>
            <w:r w:rsidRPr="00D377EC">
              <w:rPr>
                <w:rFonts w:ascii="Arial" w:hAnsi="Arial" w:cs="Arial"/>
                <w:b w:val="0"/>
                <w:sz w:val="20"/>
                <w:szCs w:val="20"/>
              </w:rPr>
              <w:t>Correcto manejo del concepto de inflación</w:t>
            </w:r>
          </w:p>
        </w:tc>
        <w:tc>
          <w:tcPr>
            <w:tcW w:w="1843" w:type="dxa"/>
          </w:tcPr>
          <w:p w14:paraId="1CF0E148" w14:textId="77777777" w:rsidR="00911D91" w:rsidRPr="00D377EC" w:rsidRDefault="00911D91" w:rsidP="00911D91">
            <w:pPr>
              <w:spacing w:line="276" w:lineRule="auto"/>
              <w:ind w:firstLine="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B050"/>
                <w:sz w:val="20"/>
                <w:szCs w:val="20"/>
              </w:rPr>
            </w:pPr>
            <w:r w:rsidRPr="00D377EC">
              <w:rPr>
                <w:rFonts w:ascii="Arial" w:hAnsi="Arial" w:cs="Arial"/>
                <w:color w:val="00B050"/>
                <w:sz w:val="20"/>
                <w:szCs w:val="20"/>
              </w:rPr>
              <w:t>49%</w:t>
            </w:r>
          </w:p>
        </w:tc>
        <w:tc>
          <w:tcPr>
            <w:tcW w:w="1695" w:type="dxa"/>
          </w:tcPr>
          <w:p w14:paraId="5FFF5049" w14:textId="77777777" w:rsidR="00911D91" w:rsidRPr="00D377EC" w:rsidRDefault="00911D91" w:rsidP="00911D91">
            <w:pPr>
              <w:spacing w:line="276" w:lineRule="auto"/>
              <w:ind w:firstLine="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B050"/>
                <w:sz w:val="20"/>
                <w:szCs w:val="20"/>
              </w:rPr>
            </w:pPr>
            <w:r w:rsidRPr="00D377EC">
              <w:rPr>
                <w:rFonts w:ascii="Arial" w:hAnsi="Arial" w:cs="Arial"/>
                <w:color w:val="00B050"/>
                <w:sz w:val="20"/>
                <w:szCs w:val="20"/>
              </w:rPr>
              <w:t>52,63%</w:t>
            </w:r>
          </w:p>
        </w:tc>
      </w:tr>
      <w:tr w:rsidR="00911D91" w:rsidRPr="00D377EC" w14:paraId="6341BCF1" w14:textId="77777777" w:rsidTr="005E5F10">
        <w:tc>
          <w:tcPr>
            <w:cnfStyle w:val="001000000000" w:firstRow="0" w:lastRow="0" w:firstColumn="1" w:lastColumn="0" w:oddVBand="0" w:evenVBand="0" w:oddHBand="0" w:evenHBand="0" w:firstRowFirstColumn="0" w:firstRowLastColumn="0" w:lastRowFirstColumn="0" w:lastRowLastColumn="0"/>
            <w:tcW w:w="5812" w:type="dxa"/>
          </w:tcPr>
          <w:p w14:paraId="09DEBA79" w14:textId="77777777" w:rsidR="00911D91" w:rsidRPr="00D377EC" w:rsidRDefault="00911D91" w:rsidP="00911D91">
            <w:pPr>
              <w:spacing w:line="276" w:lineRule="auto"/>
              <w:ind w:firstLine="0"/>
              <w:rPr>
                <w:rFonts w:ascii="Arial" w:hAnsi="Arial" w:cs="Arial"/>
                <w:b w:val="0"/>
                <w:bCs/>
                <w:sz w:val="20"/>
                <w:szCs w:val="20"/>
              </w:rPr>
            </w:pPr>
            <w:r w:rsidRPr="00D377EC">
              <w:rPr>
                <w:rFonts w:ascii="Arial" w:hAnsi="Arial" w:cs="Arial"/>
                <w:b w:val="0"/>
                <w:sz w:val="20"/>
                <w:szCs w:val="20"/>
              </w:rPr>
              <w:t>Conocimiento sobre interés simple</w:t>
            </w:r>
          </w:p>
        </w:tc>
        <w:tc>
          <w:tcPr>
            <w:tcW w:w="1843" w:type="dxa"/>
          </w:tcPr>
          <w:p w14:paraId="40A47B5D" w14:textId="77777777" w:rsidR="00911D91" w:rsidRPr="00D377EC" w:rsidRDefault="00911D91" w:rsidP="00911D91">
            <w:pPr>
              <w:spacing w:line="276" w:lineRule="auto"/>
              <w:ind w:firstLine="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B050"/>
                <w:sz w:val="20"/>
                <w:szCs w:val="20"/>
              </w:rPr>
            </w:pPr>
            <w:r w:rsidRPr="00D377EC">
              <w:rPr>
                <w:rFonts w:ascii="Arial" w:hAnsi="Arial" w:cs="Arial"/>
                <w:color w:val="00B050"/>
                <w:sz w:val="20"/>
                <w:szCs w:val="20"/>
              </w:rPr>
              <w:t>11%</w:t>
            </w:r>
          </w:p>
        </w:tc>
        <w:tc>
          <w:tcPr>
            <w:tcW w:w="1695" w:type="dxa"/>
          </w:tcPr>
          <w:p w14:paraId="011D7C99" w14:textId="77777777" w:rsidR="00911D91" w:rsidRPr="00D377EC" w:rsidRDefault="00911D91" w:rsidP="00911D91">
            <w:pPr>
              <w:spacing w:line="276" w:lineRule="auto"/>
              <w:ind w:firstLine="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B050"/>
                <w:sz w:val="20"/>
                <w:szCs w:val="20"/>
              </w:rPr>
            </w:pPr>
            <w:r w:rsidRPr="00D377EC">
              <w:rPr>
                <w:rFonts w:ascii="Arial" w:hAnsi="Arial" w:cs="Arial"/>
                <w:color w:val="00B050"/>
                <w:sz w:val="20"/>
                <w:szCs w:val="20"/>
              </w:rPr>
              <w:t>53,63%</w:t>
            </w:r>
          </w:p>
        </w:tc>
      </w:tr>
      <w:tr w:rsidR="00911D91" w:rsidRPr="00D377EC" w14:paraId="0C410443" w14:textId="77777777" w:rsidTr="005E5F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812" w:type="dxa"/>
          </w:tcPr>
          <w:p w14:paraId="6BFA4EB4" w14:textId="77777777" w:rsidR="00911D91" w:rsidRPr="00D377EC" w:rsidRDefault="00911D91" w:rsidP="00911D91">
            <w:pPr>
              <w:spacing w:line="276" w:lineRule="auto"/>
              <w:ind w:firstLine="0"/>
              <w:rPr>
                <w:rFonts w:ascii="Arial" w:hAnsi="Arial" w:cs="Arial"/>
                <w:b w:val="0"/>
                <w:bCs/>
                <w:sz w:val="20"/>
                <w:szCs w:val="20"/>
              </w:rPr>
            </w:pPr>
            <w:r w:rsidRPr="00D377EC">
              <w:rPr>
                <w:rFonts w:ascii="Arial" w:hAnsi="Arial" w:cs="Arial"/>
                <w:b w:val="0"/>
                <w:sz w:val="20"/>
                <w:szCs w:val="20"/>
              </w:rPr>
              <w:t>Entendimiento sobre el riesgo en las inversiones</w:t>
            </w:r>
          </w:p>
        </w:tc>
        <w:tc>
          <w:tcPr>
            <w:tcW w:w="1843" w:type="dxa"/>
          </w:tcPr>
          <w:p w14:paraId="7CAA3CEF" w14:textId="77777777" w:rsidR="00911D91" w:rsidRPr="00D377EC" w:rsidRDefault="00911D91" w:rsidP="00911D91">
            <w:pPr>
              <w:spacing w:line="276" w:lineRule="auto"/>
              <w:ind w:firstLine="0"/>
              <w:jc w:val="center"/>
              <w:cnfStyle w:val="000000100000" w:firstRow="0" w:lastRow="0" w:firstColumn="0" w:lastColumn="0" w:oddVBand="0" w:evenVBand="0" w:oddHBand="1" w:evenHBand="0" w:firstRowFirstColumn="0" w:firstRowLastColumn="0" w:lastRowFirstColumn="0" w:lastRowLastColumn="0"/>
              <w:rPr>
                <w:rFonts w:ascii="Arial" w:hAnsi="Arial" w:cs="Arial"/>
                <w:color w:val="FF0000"/>
                <w:sz w:val="20"/>
                <w:szCs w:val="20"/>
              </w:rPr>
            </w:pPr>
            <w:r w:rsidRPr="00D377EC">
              <w:rPr>
                <w:rFonts w:ascii="Arial" w:hAnsi="Arial" w:cs="Arial"/>
                <w:color w:val="FF0000"/>
                <w:sz w:val="20"/>
                <w:szCs w:val="20"/>
              </w:rPr>
              <w:t>85%</w:t>
            </w:r>
          </w:p>
        </w:tc>
        <w:tc>
          <w:tcPr>
            <w:tcW w:w="1695" w:type="dxa"/>
          </w:tcPr>
          <w:p w14:paraId="29F08C3F" w14:textId="77777777" w:rsidR="00911D91" w:rsidRPr="00D377EC" w:rsidRDefault="00911D91" w:rsidP="00911D91">
            <w:pPr>
              <w:spacing w:line="276" w:lineRule="auto"/>
              <w:ind w:firstLine="0"/>
              <w:jc w:val="center"/>
              <w:cnfStyle w:val="000000100000" w:firstRow="0" w:lastRow="0" w:firstColumn="0" w:lastColumn="0" w:oddVBand="0" w:evenVBand="0" w:oddHBand="1" w:evenHBand="0" w:firstRowFirstColumn="0" w:firstRowLastColumn="0" w:lastRowFirstColumn="0" w:lastRowLastColumn="0"/>
              <w:rPr>
                <w:rFonts w:ascii="Arial" w:hAnsi="Arial" w:cs="Arial"/>
                <w:color w:val="FF0000"/>
                <w:sz w:val="20"/>
                <w:szCs w:val="20"/>
              </w:rPr>
            </w:pPr>
            <w:r w:rsidRPr="00D377EC">
              <w:rPr>
                <w:rFonts w:ascii="Arial" w:hAnsi="Arial" w:cs="Arial"/>
                <w:color w:val="FF0000"/>
                <w:sz w:val="20"/>
                <w:szCs w:val="20"/>
              </w:rPr>
              <w:t>63%</w:t>
            </w:r>
          </w:p>
        </w:tc>
      </w:tr>
      <w:tr w:rsidR="00911D91" w:rsidRPr="00D377EC" w14:paraId="1356C4D0" w14:textId="77777777" w:rsidTr="005E5F10">
        <w:tc>
          <w:tcPr>
            <w:cnfStyle w:val="001000000000" w:firstRow="0" w:lastRow="0" w:firstColumn="1" w:lastColumn="0" w:oddVBand="0" w:evenVBand="0" w:oddHBand="0" w:evenHBand="0" w:firstRowFirstColumn="0" w:firstRowLastColumn="0" w:lastRowFirstColumn="0" w:lastRowLastColumn="0"/>
            <w:tcW w:w="5812" w:type="dxa"/>
            <w:tcBorders>
              <w:bottom w:val="single" w:sz="4" w:space="0" w:color="auto"/>
            </w:tcBorders>
          </w:tcPr>
          <w:p w14:paraId="354D3ABC" w14:textId="77777777" w:rsidR="00911D91" w:rsidRPr="00D377EC" w:rsidRDefault="00911D91" w:rsidP="00911D91">
            <w:pPr>
              <w:spacing w:line="276" w:lineRule="auto"/>
              <w:ind w:firstLine="0"/>
              <w:rPr>
                <w:rFonts w:ascii="Arial" w:hAnsi="Arial" w:cs="Arial"/>
                <w:b w:val="0"/>
                <w:bCs/>
                <w:sz w:val="20"/>
                <w:szCs w:val="20"/>
              </w:rPr>
            </w:pPr>
            <w:r w:rsidRPr="00D377EC">
              <w:rPr>
                <w:rFonts w:ascii="Arial" w:hAnsi="Arial" w:cs="Arial"/>
                <w:b w:val="0"/>
                <w:sz w:val="20"/>
                <w:szCs w:val="20"/>
              </w:rPr>
              <w:t>Entendimiento de la diversificación en inversiones</w:t>
            </w:r>
          </w:p>
        </w:tc>
        <w:tc>
          <w:tcPr>
            <w:tcW w:w="1843" w:type="dxa"/>
            <w:tcBorders>
              <w:bottom w:val="single" w:sz="4" w:space="0" w:color="auto"/>
            </w:tcBorders>
          </w:tcPr>
          <w:p w14:paraId="6ED30135" w14:textId="77777777" w:rsidR="00911D91" w:rsidRPr="00D377EC" w:rsidRDefault="00911D91" w:rsidP="00911D91">
            <w:pPr>
              <w:spacing w:line="276" w:lineRule="auto"/>
              <w:ind w:firstLine="0"/>
              <w:jc w:val="center"/>
              <w:cnfStyle w:val="000000000000" w:firstRow="0" w:lastRow="0" w:firstColumn="0" w:lastColumn="0" w:oddVBand="0" w:evenVBand="0" w:oddHBand="0" w:evenHBand="0" w:firstRowFirstColumn="0" w:firstRowLastColumn="0" w:lastRowFirstColumn="0" w:lastRowLastColumn="0"/>
              <w:rPr>
                <w:rFonts w:ascii="Arial" w:hAnsi="Arial" w:cs="Arial"/>
                <w:color w:val="FF0000"/>
                <w:sz w:val="20"/>
                <w:szCs w:val="20"/>
              </w:rPr>
            </w:pPr>
            <w:r w:rsidRPr="00D377EC">
              <w:rPr>
                <w:rFonts w:ascii="Arial" w:hAnsi="Arial" w:cs="Arial"/>
                <w:color w:val="FF0000"/>
                <w:sz w:val="20"/>
                <w:szCs w:val="20"/>
              </w:rPr>
              <w:t>57%</w:t>
            </w:r>
          </w:p>
        </w:tc>
        <w:tc>
          <w:tcPr>
            <w:tcW w:w="1695" w:type="dxa"/>
            <w:tcBorders>
              <w:bottom w:val="single" w:sz="4" w:space="0" w:color="auto"/>
            </w:tcBorders>
          </w:tcPr>
          <w:p w14:paraId="2FE22FF6" w14:textId="77777777" w:rsidR="00911D91" w:rsidRPr="00D377EC" w:rsidRDefault="00911D91" w:rsidP="00911D91">
            <w:pPr>
              <w:spacing w:line="276" w:lineRule="auto"/>
              <w:ind w:firstLine="0"/>
              <w:jc w:val="center"/>
              <w:cnfStyle w:val="000000000000" w:firstRow="0" w:lastRow="0" w:firstColumn="0" w:lastColumn="0" w:oddVBand="0" w:evenVBand="0" w:oddHBand="0" w:evenHBand="0" w:firstRowFirstColumn="0" w:firstRowLastColumn="0" w:lastRowFirstColumn="0" w:lastRowLastColumn="0"/>
              <w:rPr>
                <w:rFonts w:ascii="Arial" w:hAnsi="Arial" w:cs="Arial"/>
                <w:color w:val="FF0000"/>
                <w:sz w:val="20"/>
                <w:szCs w:val="20"/>
              </w:rPr>
            </w:pPr>
            <w:r w:rsidRPr="00D377EC">
              <w:rPr>
                <w:rFonts w:ascii="Arial" w:hAnsi="Arial" w:cs="Arial"/>
                <w:color w:val="FF0000"/>
                <w:sz w:val="20"/>
                <w:szCs w:val="20"/>
              </w:rPr>
              <w:t>45%</w:t>
            </w:r>
          </w:p>
        </w:tc>
      </w:tr>
    </w:tbl>
    <w:p w14:paraId="69D56B20" w14:textId="77777777" w:rsidR="00911D91" w:rsidRPr="00D377EC" w:rsidRDefault="00911D91" w:rsidP="00911D91">
      <w:pPr>
        <w:ind w:firstLine="0"/>
        <w:rPr>
          <w:rFonts w:ascii="Arial" w:hAnsi="Arial" w:cs="Arial"/>
        </w:rPr>
        <w:sectPr w:rsidR="00911D91" w:rsidRPr="00D377EC" w:rsidSect="00911D91">
          <w:type w:val="continuous"/>
          <w:pgSz w:w="12240" w:h="15840"/>
          <w:pgMar w:top="1440" w:right="1440" w:bottom="1440" w:left="1440" w:header="708" w:footer="708" w:gutter="0"/>
          <w:cols w:space="708"/>
          <w:docGrid w:linePitch="360"/>
        </w:sectPr>
      </w:pPr>
    </w:p>
    <w:p w14:paraId="0B64BFD9" w14:textId="3B68B620" w:rsidR="00911D91" w:rsidRPr="00D377EC" w:rsidRDefault="00911D91" w:rsidP="00A26B51">
      <w:pPr>
        <w:pStyle w:val="Descripcin"/>
        <w:keepNext/>
        <w:ind w:firstLine="0"/>
        <w:rPr>
          <w:rFonts w:ascii="Arial" w:hAnsi="Arial" w:cs="Arial"/>
          <w:sz w:val="22"/>
          <w:szCs w:val="22"/>
        </w:rPr>
        <w:sectPr w:rsidR="00911D91" w:rsidRPr="00D377EC" w:rsidSect="000D752A">
          <w:type w:val="continuous"/>
          <w:pgSz w:w="12240" w:h="15840"/>
          <w:pgMar w:top="1440" w:right="1440" w:bottom="1440" w:left="1440" w:header="708" w:footer="708" w:gutter="0"/>
          <w:cols w:num="2" w:space="708"/>
          <w:docGrid w:linePitch="360"/>
        </w:sectPr>
      </w:pPr>
    </w:p>
    <w:p w14:paraId="20B51BAD" w14:textId="7B1B178A" w:rsidR="00911D91" w:rsidRPr="00D377EC" w:rsidRDefault="00911D91" w:rsidP="00A26B51">
      <w:pPr>
        <w:pStyle w:val="Descripcin"/>
        <w:keepNext/>
        <w:jc w:val="center"/>
        <w:rPr>
          <w:rFonts w:ascii="Arial" w:hAnsi="Arial" w:cs="Arial"/>
          <w:sz w:val="20"/>
          <w:szCs w:val="20"/>
        </w:rPr>
      </w:pPr>
      <w:r w:rsidRPr="00D377EC">
        <w:rPr>
          <w:rFonts w:ascii="Arial" w:hAnsi="Arial" w:cs="Arial"/>
          <w:sz w:val="20"/>
          <w:szCs w:val="20"/>
        </w:rPr>
        <w:lastRenderedPageBreak/>
        <w:t>Figura</w:t>
      </w:r>
      <w:r w:rsidR="00892BDC">
        <w:rPr>
          <w:rFonts w:ascii="Arial" w:hAnsi="Arial" w:cs="Arial"/>
          <w:sz w:val="20"/>
          <w:szCs w:val="20"/>
        </w:rPr>
        <w:t xml:space="preserve"> III</w:t>
      </w:r>
      <w:r w:rsidRPr="00D377EC">
        <w:rPr>
          <w:rFonts w:ascii="Arial" w:hAnsi="Arial" w:cs="Arial"/>
          <w:sz w:val="20"/>
          <w:szCs w:val="20"/>
        </w:rPr>
        <w:t>: Puntaje de alfabetización financiera medido a través de la encuesta Internacional de Alfabetización Financiera de Adultos OCDE/INFE 2020</w:t>
      </w:r>
    </w:p>
    <w:p w14:paraId="33209BC2" w14:textId="40976D88" w:rsidR="00911D91" w:rsidRPr="00D377EC" w:rsidRDefault="00DD6C85" w:rsidP="00911D91">
      <w:pPr>
        <w:rPr>
          <w:rFonts w:ascii="Arial" w:hAnsi="Arial" w:cs="Arial"/>
        </w:rPr>
        <w:sectPr w:rsidR="00911D91" w:rsidRPr="00D377EC" w:rsidSect="00911D91">
          <w:type w:val="continuous"/>
          <w:pgSz w:w="12240" w:h="15840"/>
          <w:pgMar w:top="1440" w:right="1440" w:bottom="1440" w:left="1440" w:header="708" w:footer="708" w:gutter="0"/>
          <w:cols w:space="708"/>
          <w:docGrid w:linePitch="360"/>
        </w:sectPr>
      </w:pPr>
      <w:r w:rsidRPr="00D377EC">
        <w:rPr>
          <w:rFonts w:ascii="Arial" w:hAnsi="Arial" w:cs="Arial"/>
          <w:i/>
          <w:iCs/>
          <w:noProof/>
          <w:color w:val="44546A" w:themeColor="text2"/>
          <w:sz w:val="20"/>
          <w:szCs w:val="20"/>
        </w:rPr>
        <mc:AlternateContent>
          <mc:Choice Requires="wps">
            <w:drawing>
              <wp:anchor distT="45720" distB="45720" distL="114300" distR="114300" simplePos="0" relativeHeight="251696128" behindDoc="0" locked="0" layoutInCell="1" allowOverlap="1" wp14:anchorId="6A15F65B" wp14:editId="15DDD035">
                <wp:simplePos x="0" y="0"/>
                <wp:positionH relativeFrom="margin">
                  <wp:align>right</wp:align>
                </wp:positionH>
                <wp:positionV relativeFrom="paragraph">
                  <wp:posOffset>5438775</wp:posOffset>
                </wp:positionV>
                <wp:extent cx="5934075" cy="381000"/>
                <wp:effectExtent l="0" t="0" r="0" b="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4075" cy="381000"/>
                        </a:xfrm>
                        <a:prstGeom prst="rect">
                          <a:avLst/>
                        </a:prstGeom>
                        <a:noFill/>
                        <a:ln w="9525">
                          <a:noFill/>
                          <a:miter lim="800000"/>
                          <a:headEnd/>
                          <a:tailEnd/>
                        </a:ln>
                      </wps:spPr>
                      <wps:txbx>
                        <w:txbxContent>
                          <w:p w14:paraId="70132238" w14:textId="77777777" w:rsidR="00A26B51" w:rsidRPr="00A26B51" w:rsidRDefault="00A26B51" w:rsidP="00A26B51">
                            <w:pPr>
                              <w:spacing w:line="240" w:lineRule="auto"/>
                              <w:jc w:val="center"/>
                              <w:rPr>
                                <w:rFonts w:ascii="Arial" w:hAnsi="Arial" w:cs="Arial"/>
                                <w:i/>
                                <w:iCs/>
                                <w:color w:val="44546A" w:themeColor="text2"/>
                                <w:sz w:val="20"/>
                                <w:szCs w:val="20"/>
                              </w:rPr>
                            </w:pPr>
                            <w:r w:rsidRPr="00A26B51">
                              <w:rPr>
                                <w:rFonts w:ascii="Arial" w:hAnsi="Arial" w:cs="Arial"/>
                                <w:i/>
                                <w:iCs/>
                                <w:color w:val="44546A" w:themeColor="text2"/>
                                <w:sz w:val="20"/>
                                <w:szCs w:val="20"/>
                              </w:rPr>
                              <w:t xml:space="preserve">Fuente: Figura extraída de la encuesta Internacional de Alfabetización Financiera de Adultos </w:t>
                            </w:r>
                            <w:sdt>
                              <w:sdtPr>
                                <w:rPr>
                                  <w:rFonts w:ascii="Arial" w:hAnsi="Arial" w:cs="Arial"/>
                                  <w:i/>
                                  <w:iCs/>
                                  <w:color w:val="44546A" w:themeColor="text2"/>
                                  <w:sz w:val="20"/>
                                  <w:szCs w:val="20"/>
                                </w:rPr>
                                <w:tag w:val="MENDELEY_CITATION_v3_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"/>
                                <w:id w:val="640543427"/>
                                <w:placeholder>
                                  <w:docPart w:val="49C2BB83E3754C3DA41CE7EFDEF2A2CE"/>
                                </w:placeholder>
                              </w:sdtPr>
                              <w:sdtContent>
                                <w:r w:rsidRPr="00A26B51">
                                  <w:rPr>
                                    <w:rFonts w:ascii="Arial" w:hAnsi="Arial" w:cs="Arial"/>
                                    <w:i/>
                                    <w:iCs/>
                                    <w:color w:val="44546A" w:themeColor="text2"/>
                                    <w:sz w:val="20"/>
                                    <w:szCs w:val="20"/>
                                  </w:rPr>
                                  <w:t>(OCDE, 2020)</w:t>
                                </w:r>
                              </w:sdtContent>
                            </w:sdt>
                          </w:p>
                          <w:p w14:paraId="1D41F211" w14:textId="2914A85E" w:rsidR="00A26B51" w:rsidRDefault="00A26B5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A15F65B" id="_x0000_s1029" type="#_x0000_t202" style="position:absolute;left:0;text-align:left;margin-left:416.05pt;margin-top:428.25pt;width:467.25pt;height:30pt;z-index:25169612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" filled="f" stroked="f">
                <v:textbox>
                  <w:txbxContent>
                    <w:p w14:paraId="70132238" w14:textId="77777777" w:rsidR="00A26B51" w:rsidRPr="00A26B51" w:rsidRDefault="00A26B51" w:rsidP="00A26B51">
                      <w:pPr>
                        <w:spacing w:line="240" w:lineRule="auto"/>
                        <w:jc w:val="center"/>
                        <w:rPr>
                          <w:rFonts w:ascii="Arial" w:hAnsi="Arial" w:cs="Arial"/>
                          <w:i/>
                          <w:iCs/>
                          <w:color w:val="44546A" w:themeColor="text2"/>
                          <w:sz w:val="20"/>
                          <w:szCs w:val="20"/>
                        </w:rPr>
                      </w:pPr>
                      <w:r w:rsidRPr="00A26B51">
                        <w:rPr>
                          <w:rFonts w:ascii="Arial" w:hAnsi="Arial" w:cs="Arial"/>
                          <w:i/>
                          <w:iCs/>
                          <w:color w:val="44546A" w:themeColor="text2"/>
                          <w:sz w:val="20"/>
                          <w:szCs w:val="20"/>
                        </w:rPr>
                        <w:t xml:space="preserve">Fuente: </w:t>
                      </w:r>
                      <w:r w:rsidRPr="00A26B51">
                        <w:rPr>
                          <w:rFonts w:ascii="Arial" w:hAnsi="Arial" w:cs="Arial"/>
                          <w:i/>
                          <w:iCs/>
                          <w:color w:val="44546A" w:themeColor="text2"/>
                          <w:sz w:val="20"/>
                          <w:szCs w:val="20"/>
                        </w:rPr>
                        <w:t xml:space="preserve">Figura extraída de la encuesta Internacional de Alfabetización Financiera de Adultos </w:t>
                      </w:r>
                      <w:sdt>
                        <w:sdtPr>
                          <w:rPr>
                            <w:rFonts w:ascii="Arial" w:hAnsi="Arial" w:cs="Arial"/>
                            <w:i/>
                            <w:iCs/>
                            <w:color w:val="44546A" w:themeColor="text2"/>
                            <w:sz w:val="20"/>
                            <w:szCs w:val="20"/>
                          </w:rPr>
                          <w:tag w:val="MENDELEY_CITATION_v3_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"/>
                          <w:id w:val="640543427"/>
                          <w:placeholder>
                            <w:docPart w:val="49C2BB83E3754C3DA41CE7EFDEF2A2CE"/>
                          </w:placeholder>
                        </w:sdtPr>
                        <w:sdtContent>
                          <w:r w:rsidRPr="00A26B51">
                            <w:rPr>
                              <w:rFonts w:ascii="Arial" w:hAnsi="Arial" w:cs="Arial"/>
                              <w:i/>
                              <w:iCs/>
                              <w:color w:val="44546A" w:themeColor="text2"/>
                              <w:sz w:val="20"/>
                              <w:szCs w:val="20"/>
                            </w:rPr>
                            <w:t>(OCDE, 2020)</w:t>
                          </w:r>
                        </w:sdtContent>
                      </w:sdt>
                    </w:p>
                    <w:p w14:paraId="1D41F211" w14:textId="2914A85E" w:rsidR="00A26B51" w:rsidRDefault="00A26B51"/>
                  </w:txbxContent>
                </v:textbox>
                <w10:wrap type="square" anchorx="margin"/>
              </v:shape>
            </w:pict>
          </mc:Fallback>
        </mc:AlternateContent>
      </w:r>
      <w:r w:rsidR="00911D91" w:rsidRPr="00D377EC">
        <w:rPr>
          <w:rFonts w:ascii="Arial" w:hAnsi="Arial" w:cs="Arial"/>
          <w:noProof/>
        </w:rPr>
        <w:drawing>
          <wp:inline distT="0" distB="0" distL="0" distR="0" wp14:anchorId="36C9D97C" wp14:editId="10616CAC">
            <wp:extent cx="4791744" cy="5344271"/>
            <wp:effectExtent l="0" t="0" r="8890" b="8890"/>
            <wp:docPr id="92" name="Imagen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791744" cy="5344271"/>
                    </a:xfrm>
                    <a:prstGeom prst="rect">
                      <a:avLst/>
                    </a:prstGeom>
                  </pic:spPr>
                </pic:pic>
              </a:graphicData>
            </a:graphic>
          </wp:inline>
        </w:drawing>
      </w:r>
    </w:p>
    <w:p w14:paraId="23537218" w14:textId="77777777" w:rsidR="00DD6C85" w:rsidRDefault="00DD6C85" w:rsidP="00DD6C85">
      <w:pPr>
        <w:pStyle w:val="Ttulo1"/>
        <w:ind w:firstLine="0"/>
        <w:rPr>
          <w:rFonts w:ascii="Arial" w:hAnsi="Arial" w:cs="Arial"/>
          <w:b/>
          <w:bCs/>
          <w:color w:val="auto"/>
          <w:sz w:val="24"/>
          <w:szCs w:val="24"/>
        </w:rPr>
      </w:pPr>
      <w:bookmarkStart w:id="20" w:name="_Toc114399497"/>
    </w:p>
    <w:p w14:paraId="36B899FA" w14:textId="79894CC7" w:rsidR="00A2189D" w:rsidRPr="00D377EC" w:rsidRDefault="00A2189D" w:rsidP="007C356E">
      <w:pPr>
        <w:pStyle w:val="Ttulo1"/>
        <w:numPr>
          <w:ilvl w:val="0"/>
          <w:numId w:val="5"/>
        </w:numPr>
        <w:tabs>
          <w:tab w:val="num" w:pos="360"/>
        </w:tabs>
        <w:rPr>
          <w:rFonts w:ascii="Arial" w:hAnsi="Arial" w:cs="Arial"/>
          <w:b/>
          <w:bCs/>
          <w:color w:val="auto"/>
          <w:sz w:val="24"/>
          <w:szCs w:val="24"/>
        </w:rPr>
      </w:pPr>
      <w:r w:rsidRPr="00D377EC">
        <w:rPr>
          <w:rFonts w:ascii="Arial" w:hAnsi="Arial" w:cs="Arial"/>
          <w:b/>
          <w:bCs/>
          <w:color w:val="auto"/>
          <w:sz w:val="24"/>
          <w:szCs w:val="24"/>
        </w:rPr>
        <w:t>Conclusiones</w:t>
      </w:r>
      <w:bookmarkEnd w:id="20"/>
    </w:p>
    <w:p w14:paraId="62F7D6C9" w14:textId="77777777" w:rsidR="00A2189D" w:rsidRPr="00D377EC" w:rsidRDefault="00A2189D" w:rsidP="00A2189D">
      <w:pPr>
        <w:spacing w:after="0" w:line="240" w:lineRule="auto"/>
        <w:rPr>
          <w:rFonts w:ascii="Arial" w:hAnsi="Arial" w:cs="Arial"/>
        </w:rPr>
      </w:pPr>
    </w:p>
    <w:p w14:paraId="43E1CC36" w14:textId="77777777" w:rsidR="00DD6C85" w:rsidRDefault="00A2189D" w:rsidP="00A2189D">
      <w:pPr>
        <w:rPr>
          <w:rFonts w:ascii="Arial" w:hAnsi="Arial" w:cs="Arial"/>
        </w:rPr>
      </w:pPr>
      <w:r w:rsidRPr="00D377EC">
        <w:rPr>
          <w:rFonts w:ascii="Arial" w:hAnsi="Arial" w:cs="Arial"/>
        </w:rPr>
        <w:t xml:space="preserve">La alfabetización financiera en las mujeres en condición de vulnerabilidad del área metropolitana de Bucaramanga, entendida con la suma de componentes </w:t>
      </w:r>
    </w:p>
    <w:p w14:paraId="41BB4F4C" w14:textId="77777777" w:rsidR="00DD6C85" w:rsidRDefault="00DD6C85" w:rsidP="00A2189D">
      <w:pPr>
        <w:rPr>
          <w:rFonts w:ascii="Arial" w:hAnsi="Arial" w:cs="Arial"/>
        </w:rPr>
      </w:pPr>
    </w:p>
    <w:p w14:paraId="58F7BFC6" w14:textId="48640FB4" w:rsidR="00A2189D" w:rsidRPr="00D377EC" w:rsidRDefault="00A2189D" w:rsidP="00DD6C85">
      <w:pPr>
        <w:ind w:firstLine="0"/>
        <w:rPr>
          <w:rFonts w:ascii="Arial" w:hAnsi="Arial" w:cs="Arial"/>
        </w:rPr>
      </w:pPr>
      <w:r w:rsidRPr="00D377EC">
        <w:rPr>
          <w:rFonts w:ascii="Arial" w:hAnsi="Arial" w:cs="Arial"/>
        </w:rPr>
        <w:t xml:space="preserve">relacionados con el conocimiento, comportamiento y actitud financiera, presenta como valor general para la métrica realizada 10,05 puntos de 15 posibles, es decir, un 67% del puntaje máximo. Ubicando a la población </w:t>
      </w:r>
      <w:r w:rsidRPr="00D377EC">
        <w:rPr>
          <w:rFonts w:ascii="Arial" w:hAnsi="Arial" w:cs="Arial"/>
        </w:rPr>
        <w:lastRenderedPageBreak/>
        <w:t xml:space="preserve">objetivo un 6,53% por encima del promedio determinado por la OCDE a través de la comparación del desempeño de diversos países. Este valor se ve afectado por los factores mencionados anteriormente, donde el comportamiento y la actitud financiera se encuentran por encima del promedio en 28,8% y 17% respectivamente y, para el caso de conocimiento financiero, las mujeres presentan un puntaje inferior al promedio en 15,2%. Esto refleja no solo la gran influencia de este último factor sobre el puntaje global, además, la relación con estudios citados en el marco de antecedentes, en el que para la región de estudio los niños pertenecientes a la educación media obtuvieron puntajes de comportamiento y actitud sobresalientes, mientras que el de conocimiento presentó grandes falencias. </w:t>
      </w:r>
    </w:p>
    <w:p w14:paraId="3384F834" w14:textId="77777777" w:rsidR="00A2189D" w:rsidRPr="00D377EC" w:rsidRDefault="00A2189D" w:rsidP="00A2189D">
      <w:pPr>
        <w:rPr>
          <w:rFonts w:ascii="Arial" w:hAnsi="Arial" w:cs="Arial"/>
        </w:rPr>
      </w:pPr>
      <w:r w:rsidRPr="00D377EC">
        <w:rPr>
          <w:rFonts w:ascii="Arial" w:hAnsi="Arial" w:cs="Arial"/>
        </w:rPr>
        <w:t xml:space="preserve">Así las cosas, para el conocimiento financiero se encontraron la mayor cantidad de relaciones con las variables socioeconómicas, se evidenció que el estado civil es un factor no influyente, mientras que la edad, el número de hijos, el mayor grado de escolaridad alcanzado, el estado laboral, el nivel de ingresos y la autoconfianza percibida sí. Cada una de estas variables </w:t>
      </w:r>
      <w:r w:rsidRPr="00D377EC">
        <w:rPr>
          <w:rFonts w:ascii="Arial" w:hAnsi="Arial" w:cs="Arial"/>
        </w:rPr>
        <w:t>se relaciona de manera específica con el factor conocimiento, para el caso de la edad y el número de hijos, en la medida en que estas variables aumentan, el puntaje de conocimiento financiero disminuye; para el caso de la escolaridad y el nivel salarial, la relación es directamente proporcional con el factor estudiado; en relación al estado laboral, éste influye positivamente en su desempeño, el no contar con trabajo o ser ama de casa representa un aumento significativo en el mal desempeño en pruebas de conocimiento y, finalmente, la autoconfianza percibida aunque bien no representa un aumento del conocimiento, si se evidencia que influye positivamente en la disminución de la proporción de mujeres que presentan niveles bajos de esta métrica.</w:t>
      </w:r>
    </w:p>
    <w:p w14:paraId="0F32C49A" w14:textId="77777777" w:rsidR="00A2189D" w:rsidRPr="00D377EC" w:rsidRDefault="00A2189D" w:rsidP="00A2189D">
      <w:pPr>
        <w:rPr>
          <w:rFonts w:ascii="Arial" w:hAnsi="Arial" w:cs="Arial"/>
        </w:rPr>
      </w:pPr>
      <w:r w:rsidRPr="00D377EC">
        <w:rPr>
          <w:rFonts w:ascii="Arial" w:hAnsi="Arial" w:cs="Arial"/>
        </w:rPr>
        <w:t xml:space="preserve">En cuanto a la actitud financiera, se observó que mientras la edad se relaciona de manera directamente proporcional al puntaje obtenido, el estado civil, el número de hijos, el nivel de escolaridad, el estado laboral, el nivel de ingresos y la autoconfianza percibida no afectan la variable en estudio. Mientras que, para el comportamiento financiero, ninguna de las variables socioeconómicas o el nivel de </w:t>
      </w:r>
      <w:r w:rsidRPr="00D377EC">
        <w:rPr>
          <w:rFonts w:ascii="Arial" w:hAnsi="Arial" w:cs="Arial"/>
        </w:rPr>
        <w:lastRenderedPageBreak/>
        <w:t>autoconfianza percibido representa una influencia, es decir, existe la misma proporción de datos en cada una de las categorías observadas respecto al puntaje.</w:t>
      </w:r>
    </w:p>
    <w:p w14:paraId="29ACF607" w14:textId="77777777" w:rsidR="00A2189D" w:rsidRPr="00D377EC" w:rsidRDefault="00A2189D" w:rsidP="00A2189D">
      <w:pPr>
        <w:rPr>
          <w:rFonts w:ascii="Arial" w:hAnsi="Arial" w:cs="Arial"/>
        </w:rPr>
      </w:pPr>
      <w:r w:rsidRPr="00D377EC">
        <w:rPr>
          <w:rFonts w:ascii="Arial" w:hAnsi="Arial" w:cs="Arial"/>
        </w:rPr>
        <w:t xml:space="preserve">Dicho lo anterior, existen otras variables influyentes en los factores de la alfabetización financiera, en general la autoconfianza y la motivación son claves para la apropiación del conocimiento y la adopción de comportamientos financieros responsables, sin embargo, aunque la mayoría de mujeres encuestadas se siente competente para gestionar de manera adecuada sus finanzas, su situación financiera actual no les genera plenitud, produciendo como consecuencias negativas aversión al uso de nuevas alternativas tecnológicas financieras, apatía y desconocimiento de los beneficios provenientes de los productos financieros formales y, desconfianza en las instituciones financieras. Todo esto, no permite la correcta inclusión financiera de dicha población, </w:t>
      </w:r>
      <w:r w:rsidRPr="00D377EC">
        <w:rPr>
          <w:rFonts w:ascii="Arial" w:hAnsi="Arial" w:cs="Arial"/>
        </w:rPr>
        <w:t>desperdiciando oportunidades tales como la gran actitud de ahorro, la alta disposición de realizar inversiones, el constante establecimiento de metas financieras y el pago oportuno de deudas evidenciado en la mayoría de las mujeres, siendo estos, comportamientos claves y funcionales para la adquisición de portafolios financieros que les permitiría mejorar su bienestar financiero.</w:t>
      </w:r>
    </w:p>
    <w:p w14:paraId="6B673937" w14:textId="359BFBE6" w:rsidR="00A2189D" w:rsidRPr="00D377EC" w:rsidRDefault="00A2189D" w:rsidP="00A2189D">
      <w:pPr>
        <w:rPr>
          <w:rFonts w:ascii="Arial" w:hAnsi="Arial" w:cs="Arial"/>
        </w:rPr>
      </w:pPr>
      <w:r w:rsidRPr="00D377EC">
        <w:rPr>
          <w:rFonts w:ascii="Arial" w:hAnsi="Arial" w:cs="Arial"/>
        </w:rPr>
        <w:t>Finalmente, se hace énfasis en las respuestas obtenidas ante las preguntas de conocimiento financiero, debido a que la literatura manifiesta que los productos financieros formales solo llegan a las poblaciones con altos niveles de conocimiento y, para la investigación en curso, solo la mitad de las mujeres</w:t>
      </w:r>
      <w:r w:rsidR="00627A3B" w:rsidRPr="00D377EC">
        <w:rPr>
          <w:rFonts w:ascii="Arial" w:hAnsi="Arial" w:cs="Arial"/>
        </w:rPr>
        <w:t xml:space="preserve"> </w:t>
      </w:r>
      <w:r w:rsidRPr="00D377EC">
        <w:rPr>
          <w:rFonts w:ascii="Arial" w:hAnsi="Arial" w:cs="Arial"/>
        </w:rPr>
        <w:t>cuenta con la competencia para manejar porcentajes y comprender el crecimiento del ahorro, comprender el significado de inflación y entender la relación típica entre el riesgo y las inversiones, mientras que menos de la mitad de ellas reconoce el beneficio de la diversificación.</w:t>
      </w:r>
    </w:p>
    <w:p w14:paraId="7B1F76C1" w14:textId="77777777" w:rsidR="000D752A" w:rsidRPr="00D377EC" w:rsidRDefault="000D752A" w:rsidP="00753689">
      <w:pPr>
        <w:ind w:firstLine="0"/>
        <w:rPr>
          <w:rFonts w:ascii="Arial" w:hAnsi="Arial" w:cs="Arial"/>
        </w:rPr>
        <w:sectPr w:rsidR="000D752A" w:rsidRPr="00D377EC" w:rsidSect="000D752A">
          <w:type w:val="continuous"/>
          <w:pgSz w:w="12240" w:h="15840"/>
          <w:pgMar w:top="1440" w:right="1440" w:bottom="1440" w:left="1440" w:header="708" w:footer="708" w:gutter="0"/>
          <w:cols w:num="2" w:space="708"/>
          <w:docGrid w:linePitch="360"/>
        </w:sectPr>
      </w:pPr>
    </w:p>
    <w:p w14:paraId="2CD65CF3" w14:textId="28E356F7" w:rsidR="00A2189D" w:rsidRDefault="00A2189D" w:rsidP="00753689">
      <w:pPr>
        <w:ind w:firstLine="0"/>
        <w:rPr>
          <w:rFonts w:ascii="Arial" w:hAnsi="Arial" w:cs="Arial"/>
        </w:rPr>
      </w:pPr>
    </w:p>
    <w:p w14:paraId="348C0EAF" w14:textId="7C1C17F4" w:rsidR="007576ED" w:rsidRDefault="007576ED" w:rsidP="00753689">
      <w:pPr>
        <w:ind w:firstLine="0"/>
        <w:rPr>
          <w:rFonts w:ascii="Arial" w:hAnsi="Arial" w:cs="Arial"/>
        </w:rPr>
      </w:pPr>
    </w:p>
    <w:p w14:paraId="5CCFD750" w14:textId="77777777" w:rsidR="007576ED" w:rsidRPr="00D377EC" w:rsidRDefault="007576ED" w:rsidP="00753689">
      <w:pPr>
        <w:ind w:firstLine="0"/>
        <w:rPr>
          <w:rFonts w:ascii="Arial" w:hAnsi="Arial" w:cs="Arial"/>
        </w:rPr>
      </w:pPr>
    </w:p>
    <w:p w14:paraId="077544B8" w14:textId="494C9D34" w:rsidR="00627A3B" w:rsidRPr="00A3380C" w:rsidRDefault="00A3380C" w:rsidP="00753689">
      <w:pPr>
        <w:ind w:firstLine="0"/>
        <w:rPr>
          <w:rFonts w:ascii="Arial" w:hAnsi="Arial" w:cs="Arial"/>
          <w:b/>
          <w:bCs w:val="0"/>
        </w:rPr>
      </w:pPr>
      <w:r>
        <w:rPr>
          <w:rFonts w:ascii="Arial" w:hAnsi="Arial" w:cs="Arial"/>
          <w:b/>
          <w:bCs w:val="0"/>
        </w:rPr>
        <w:lastRenderedPageBreak/>
        <w:t>Referencias b</w:t>
      </w:r>
      <w:r w:rsidR="00627A3B" w:rsidRPr="00A3380C">
        <w:rPr>
          <w:rFonts w:ascii="Arial" w:hAnsi="Arial" w:cs="Arial"/>
          <w:b/>
          <w:bCs w:val="0"/>
        </w:rPr>
        <w:t>ibliogr</w:t>
      </w:r>
      <w:r>
        <w:rPr>
          <w:rFonts w:ascii="Arial" w:hAnsi="Arial" w:cs="Arial"/>
          <w:b/>
          <w:bCs w:val="0"/>
        </w:rPr>
        <w:t>áficas</w:t>
      </w:r>
    </w:p>
    <w:p w14:paraId="5DB26E03" w14:textId="77777777" w:rsidR="000A2A8B" w:rsidRPr="00892BDC" w:rsidRDefault="000A2A8B" w:rsidP="000A2A8B">
      <w:pPr>
        <w:ind w:firstLine="0"/>
        <w:sectPr w:rsidR="000A2A8B" w:rsidRPr="00892BDC" w:rsidSect="000D752A">
          <w:type w:val="continuous"/>
          <w:pgSz w:w="12240" w:h="15840"/>
          <w:pgMar w:top="1440" w:right="1440" w:bottom="1440" w:left="1440" w:header="708" w:footer="708" w:gutter="0"/>
          <w:cols w:space="708"/>
          <w:docGrid w:linePitch="360"/>
        </w:sectPr>
      </w:pPr>
    </w:p>
    <w:sdt>
      <w:sdtPr>
        <w:rPr>
          <w:lang w:val="en-US"/>
        </w:rPr>
        <w:tag w:val="MENDELEY_BIBLIOGRAPHY"/>
        <w:id w:val="402110766"/>
        <w:placeholder>
          <w:docPart w:val="92A2E29FE184476A8B132A1988CC0AFD"/>
        </w:placeholder>
      </w:sdtPr>
      <w:sdtContent>
        <w:p w14:paraId="48941ABB" w14:textId="73C87F72" w:rsidR="000A2A8B" w:rsidRPr="00506B2A" w:rsidRDefault="000A2A8B" w:rsidP="000A2A8B">
          <w:pPr>
            <w:ind w:firstLine="0"/>
            <w:rPr>
              <w:rFonts w:eastAsia="Times New Roman"/>
              <w:lang w:val="en-US"/>
            </w:rPr>
          </w:pPr>
          <w:r w:rsidRPr="000A2A8B">
            <w:rPr>
              <w:rFonts w:eastAsia="Times New Roman"/>
            </w:rPr>
            <w:t> </w:t>
          </w:r>
          <w:r>
            <w:rPr>
              <w:rFonts w:eastAsia="Times New Roman"/>
            </w:rPr>
            <w:t>Al-</w:t>
          </w:r>
          <w:proofErr w:type="spellStart"/>
          <w:r>
            <w:rPr>
              <w:rFonts w:eastAsia="Times New Roman"/>
            </w:rPr>
            <w:t>Bahrani</w:t>
          </w:r>
          <w:proofErr w:type="spellEnd"/>
          <w:r>
            <w:rPr>
              <w:rFonts w:eastAsia="Times New Roman"/>
            </w:rPr>
            <w:t xml:space="preserve">, A., </w:t>
          </w:r>
          <w:proofErr w:type="spellStart"/>
          <w:r>
            <w:rPr>
              <w:rFonts w:eastAsia="Times New Roman"/>
            </w:rPr>
            <w:t>Buser</w:t>
          </w:r>
          <w:proofErr w:type="spellEnd"/>
          <w:r>
            <w:rPr>
              <w:rFonts w:eastAsia="Times New Roman"/>
            </w:rPr>
            <w:t xml:space="preserve">, W., &amp; Patel, D. (2020). </w:t>
          </w:r>
          <w:r w:rsidRPr="00506B2A">
            <w:rPr>
              <w:rFonts w:eastAsia="Times New Roman"/>
              <w:lang w:val="en-US"/>
            </w:rPr>
            <w:t xml:space="preserve">Early Causes of Financial Disquiet and the Gender Gap in Financial Literacy: Evidence from College Students in the Southeastern United States. </w:t>
          </w:r>
          <w:r w:rsidRPr="00506B2A">
            <w:rPr>
              <w:rFonts w:eastAsia="Times New Roman"/>
              <w:i/>
              <w:iCs/>
              <w:lang w:val="en-US"/>
            </w:rPr>
            <w:t>Journal of Family and Economic Issues</w:t>
          </w:r>
          <w:r w:rsidRPr="00506B2A">
            <w:rPr>
              <w:rFonts w:eastAsia="Times New Roman"/>
              <w:lang w:val="en-US"/>
            </w:rPr>
            <w:t xml:space="preserve">, </w:t>
          </w:r>
          <w:r w:rsidRPr="00506B2A">
            <w:rPr>
              <w:rFonts w:eastAsia="Times New Roman"/>
              <w:i/>
              <w:iCs/>
              <w:lang w:val="en-US"/>
            </w:rPr>
            <w:t>41</w:t>
          </w:r>
          <w:r w:rsidRPr="00506B2A">
            <w:rPr>
              <w:rFonts w:eastAsia="Times New Roman"/>
              <w:lang w:val="en-US"/>
            </w:rPr>
            <w:t>(3), 558–571. https://doi.org/10.1007/s10834-020-09670-3</w:t>
          </w:r>
        </w:p>
        <w:p w14:paraId="74D260AE" w14:textId="77777777" w:rsidR="000A2A8B" w:rsidRPr="000A2A8B" w:rsidRDefault="000A2A8B" w:rsidP="000A2A8B">
          <w:pPr>
            <w:ind w:left="229" w:hanging="709"/>
            <w:rPr>
              <w:rFonts w:eastAsia="Times New Roman"/>
              <w:lang w:val="en-US"/>
            </w:rPr>
          </w:pPr>
          <w:r w:rsidRPr="000A2A8B">
            <w:rPr>
              <w:rFonts w:eastAsia="Times New Roman"/>
              <w:lang w:val="en-US"/>
            </w:rPr>
            <w:t xml:space="preserve">Allen, M.W., Edwards, R., </w:t>
          </w:r>
          <w:proofErr w:type="spellStart"/>
          <w:r w:rsidRPr="000A2A8B">
            <w:rPr>
              <w:rFonts w:eastAsia="Times New Roman"/>
              <w:lang w:val="en-US"/>
            </w:rPr>
            <w:t>Hayhoe</w:t>
          </w:r>
          <w:proofErr w:type="spellEnd"/>
          <w:r w:rsidRPr="000A2A8B">
            <w:rPr>
              <w:rFonts w:eastAsia="Times New Roman"/>
              <w:lang w:val="en-US"/>
            </w:rPr>
            <w:t>, C.R. and Leach, L. (2007), “Imagined interaction, attitudes towards money and credit, and family coalitions”, Journal of Family and Economic Issues, Vol. 28 No. 1, pp. 3-22.</w:t>
          </w:r>
        </w:p>
        <w:p w14:paraId="45D3F0DE" w14:textId="77777777" w:rsidR="000A2A8B" w:rsidRDefault="000A2A8B" w:rsidP="00DD6C85">
          <w:pPr>
            <w:autoSpaceDE w:val="0"/>
            <w:autoSpaceDN w:val="0"/>
            <w:ind w:hanging="480"/>
            <w:rPr>
              <w:rFonts w:eastAsia="Times New Roman"/>
            </w:rPr>
          </w:pPr>
          <w:proofErr w:type="spellStart"/>
          <w:r>
            <w:rPr>
              <w:rFonts w:eastAsia="Times New Roman"/>
            </w:rPr>
            <w:t>Arbache</w:t>
          </w:r>
          <w:proofErr w:type="spellEnd"/>
          <w:r>
            <w:rPr>
              <w:rFonts w:eastAsia="Times New Roman"/>
            </w:rPr>
            <w:t xml:space="preserve">, J., Carlos Elorza, J., Mejía, D., Andrés, J., Triana, V., Castaño Gutiérrez, J., María, A., Villegas, O., Fernanda, M., Fandiño, T., &amp; Parra Gutiérrez, D. (2019). </w:t>
          </w:r>
          <w:r>
            <w:rPr>
              <w:rFonts w:eastAsia="Times New Roman"/>
              <w:i/>
              <w:iCs/>
            </w:rPr>
            <w:t>ENCUESTA DE MEDICIÓN DE CAPACIDADES FINANCIERAS COLOMBIA 2019 CRÉDITOS</w:t>
          </w:r>
          <w:r>
            <w:rPr>
              <w:rFonts w:eastAsia="Times New Roman"/>
            </w:rPr>
            <w:t>. https://scioteca.caf.com/bitstream/handle/123456789/1717/Encuesta%20de%20medici%c3%b3n%20de%20capacidades%20financieras%20de%20Colombia-2019.pdf?sequence=4&amp;isAllowed=y</w:t>
          </w:r>
        </w:p>
        <w:p w14:paraId="6ECC3FA6" w14:textId="77777777" w:rsidR="000A2A8B" w:rsidRPr="00506B2A" w:rsidRDefault="000A2A8B" w:rsidP="00DD6C85">
          <w:pPr>
            <w:autoSpaceDE w:val="0"/>
            <w:autoSpaceDN w:val="0"/>
            <w:ind w:hanging="480"/>
            <w:rPr>
              <w:rFonts w:eastAsia="Times New Roman"/>
              <w:lang w:val="en-US"/>
            </w:rPr>
          </w:pPr>
          <w:r w:rsidRPr="00506B2A">
            <w:rPr>
              <w:rFonts w:eastAsia="Times New Roman"/>
              <w:lang w:val="en-US"/>
            </w:rPr>
            <w:t xml:space="preserve">Banerjee, T., &amp; Roy, M. (2020). Financial Literacy: An Intra-Household Case Study from West Bengal, India. </w:t>
          </w:r>
          <w:r w:rsidRPr="00506B2A">
            <w:rPr>
              <w:rFonts w:eastAsia="Times New Roman"/>
              <w:i/>
              <w:iCs/>
              <w:lang w:val="en-US"/>
            </w:rPr>
            <w:t xml:space="preserve">Studies in </w:t>
          </w:r>
          <w:r w:rsidRPr="00506B2A">
            <w:rPr>
              <w:rFonts w:eastAsia="Times New Roman"/>
              <w:i/>
              <w:iCs/>
              <w:lang w:val="en-US"/>
            </w:rPr>
            <w:t>Microeconomics</w:t>
          </w:r>
          <w:r w:rsidRPr="00506B2A">
            <w:rPr>
              <w:rFonts w:eastAsia="Times New Roman"/>
              <w:lang w:val="en-US"/>
            </w:rPr>
            <w:t xml:space="preserve">, </w:t>
          </w:r>
          <w:r w:rsidRPr="00506B2A">
            <w:rPr>
              <w:rFonts w:eastAsia="Times New Roman"/>
              <w:i/>
              <w:iCs/>
              <w:lang w:val="en-US"/>
            </w:rPr>
            <w:t>8</w:t>
          </w:r>
          <w:r w:rsidRPr="00506B2A">
            <w:rPr>
              <w:rFonts w:eastAsia="Times New Roman"/>
              <w:lang w:val="en-US"/>
            </w:rPr>
            <w:t>(2), 170–193. https://doi.org/10.1177/2321022220916081</w:t>
          </w:r>
        </w:p>
        <w:p w14:paraId="2CB2BCB1" w14:textId="77777777" w:rsidR="000A2A8B" w:rsidRPr="00506B2A" w:rsidRDefault="000A2A8B" w:rsidP="000A2A8B">
          <w:pPr>
            <w:autoSpaceDE w:val="0"/>
            <w:autoSpaceDN w:val="0"/>
            <w:ind w:hanging="480"/>
            <w:rPr>
              <w:rFonts w:eastAsia="Times New Roman"/>
              <w:lang w:val="en-US"/>
            </w:rPr>
          </w:pPr>
          <w:r w:rsidRPr="00506B2A">
            <w:rPr>
              <w:rFonts w:eastAsia="Times New Roman"/>
              <w:lang w:val="en-US"/>
            </w:rPr>
            <w:t xml:space="preserve">Banerjee, T., &amp; Roy, M. (2020). Financial Literacy: An Intra-Household Case Study from West Bengal, India. </w:t>
          </w:r>
          <w:r w:rsidRPr="00506B2A">
            <w:rPr>
              <w:rFonts w:eastAsia="Times New Roman"/>
              <w:i/>
              <w:iCs/>
              <w:lang w:val="en-US"/>
            </w:rPr>
            <w:t>Studies in Microeconomics</w:t>
          </w:r>
          <w:r w:rsidRPr="00506B2A">
            <w:rPr>
              <w:rFonts w:eastAsia="Times New Roman"/>
              <w:lang w:val="en-US"/>
            </w:rPr>
            <w:t xml:space="preserve">, </w:t>
          </w:r>
          <w:r w:rsidRPr="00506B2A">
            <w:rPr>
              <w:rFonts w:eastAsia="Times New Roman"/>
              <w:i/>
              <w:iCs/>
              <w:lang w:val="en-US"/>
            </w:rPr>
            <w:t>8</w:t>
          </w:r>
          <w:r w:rsidRPr="00506B2A">
            <w:rPr>
              <w:rFonts w:eastAsia="Times New Roman"/>
              <w:lang w:val="en-US"/>
            </w:rPr>
            <w:t>(2), 170–193. https://doi.org/10.1177/2321022220916081</w:t>
          </w:r>
        </w:p>
        <w:p w14:paraId="5FFD8FAA" w14:textId="77777777" w:rsidR="000A2A8B" w:rsidRPr="00506B2A" w:rsidRDefault="000A2A8B" w:rsidP="00DD6C85">
          <w:pPr>
            <w:autoSpaceDE w:val="0"/>
            <w:autoSpaceDN w:val="0"/>
            <w:ind w:hanging="480"/>
            <w:rPr>
              <w:rFonts w:eastAsia="Times New Roman"/>
              <w:lang w:val="en-US"/>
            </w:rPr>
          </w:pPr>
          <w:proofErr w:type="spellStart"/>
          <w:r w:rsidRPr="00506B2A">
            <w:rPr>
              <w:rFonts w:eastAsia="Times New Roman"/>
              <w:lang w:val="en-US"/>
            </w:rPr>
            <w:t>Bottazzi</w:t>
          </w:r>
          <w:proofErr w:type="spellEnd"/>
          <w:r w:rsidRPr="00506B2A">
            <w:rPr>
              <w:rFonts w:eastAsia="Times New Roman"/>
              <w:lang w:val="en-US"/>
            </w:rPr>
            <w:t xml:space="preserve">, L., &amp; Lusardi, A. (2021). Stereotypes in financial literacy: Evidence from PISA. </w:t>
          </w:r>
          <w:r w:rsidRPr="00506B2A">
            <w:rPr>
              <w:rFonts w:eastAsia="Times New Roman"/>
              <w:i/>
              <w:iCs/>
              <w:lang w:val="en-US"/>
            </w:rPr>
            <w:t>Journal of Corporate Finance</w:t>
          </w:r>
          <w:r w:rsidRPr="00506B2A">
            <w:rPr>
              <w:rFonts w:eastAsia="Times New Roman"/>
              <w:lang w:val="en-US"/>
            </w:rPr>
            <w:t xml:space="preserve">, </w:t>
          </w:r>
          <w:r w:rsidRPr="00506B2A">
            <w:rPr>
              <w:rFonts w:eastAsia="Times New Roman"/>
              <w:i/>
              <w:iCs/>
              <w:lang w:val="en-US"/>
            </w:rPr>
            <w:t>71</w:t>
          </w:r>
          <w:r w:rsidRPr="00506B2A">
            <w:rPr>
              <w:rFonts w:eastAsia="Times New Roman"/>
              <w:lang w:val="en-US"/>
            </w:rPr>
            <w:t>. https://doi.org/10.1016/j.jcorpfin.2020.101831</w:t>
          </w:r>
        </w:p>
        <w:p w14:paraId="1D7D63E5" w14:textId="77777777" w:rsidR="000A2A8B" w:rsidRPr="00506B2A" w:rsidRDefault="000A2A8B" w:rsidP="00DD6C85">
          <w:pPr>
            <w:autoSpaceDE w:val="0"/>
            <w:autoSpaceDN w:val="0"/>
            <w:ind w:hanging="480"/>
            <w:rPr>
              <w:rFonts w:eastAsia="Times New Roman"/>
              <w:lang w:val="en-US"/>
            </w:rPr>
          </w:pPr>
          <w:r w:rsidRPr="00506B2A">
            <w:rPr>
              <w:rFonts w:eastAsia="Times New Roman"/>
              <w:lang w:val="en-US"/>
            </w:rPr>
            <w:t xml:space="preserve">Chambers, R. G., </w:t>
          </w:r>
          <w:proofErr w:type="spellStart"/>
          <w:r w:rsidRPr="00506B2A">
            <w:rPr>
              <w:rFonts w:eastAsia="Times New Roman"/>
              <w:lang w:val="en-US"/>
            </w:rPr>
            <w:t>Asarta</w:t>
          </w:r>
          <w:proofErr w:type="spellEnd"/>
          <w:r w:rsidRPr="00506B2A">
            <w:rPr>
              <w:rFonts w:eastAsia="Times New Roman"/>
              <w:lang w:val="en-US"/>
            </w:rPr>
            <w:t xml:space="preserve">, C. J., &amp; Farley-Ripple, E. N. (2019). Gender, parental characteristics, and financial knowledge of high school students: Evidence from </w:t>
          </w:r>
          <w:proofErr w:type="spellStart"/>
          <w:r w:rsidRPr="00506B2A">
            <w:rPr>
              <w:rFonts w:eastAsia="Times New Roman"/>
              <w:lang w:val="en-US"/>
            </w:rPr>
            <w:t>multicountry</w:t>
          </w:r>
          <w:proofErr w:type="spellEnd"/>
          <w:r w:rsidRPr="00506B2A">
            <w:rPr>
              <w:rFonts w:eastAsia="Times New Roman"/>
              <w:lang w:val="en-US"/>
            </w:rPr>
            <w:t xml:space="preserve"> data. </w:t>
          </w:r>
          <w:r w:rsidRPr="00506B2A">
            <w:rPr>
              <w:rFonts w:eastAsia="Times New Roman"/>
              <w:i/>
              <w:iCs/>
              <w:lang w:val="en-US"/>
            </w:rPr>
            <w:t>Journal of Financial Counseling and Planning</w:t>
          </w:r>
          <w:r w:rsidRPr="00506B2A">
            <w:rPr>
              <w:rFonts w:eastAsia="Times New Roman"/>
              <w:lang w:val="en-US"/>
            </w:rPr>
            <w:t xml:space="preserve">, </w:t>
          </w:r>
          <w:r w:rsidRPr="00506B2A">
            <w:rPr>
              <w:rFonts w:eastAsia="Times New Roman"/>
              <w:i/>
              <w:iCs/>
              <w:lang w:val="en-US"/>
            </w:rPr>
            <w:t>30</w:t>
          </w:r>
          <w:r w:rsidRPr="00506B2A">
            <w:rPr>
              <w:rFonts w:eastAsia="Times New Roman"/>
              <w:lang w:val="en-US"/>
            </w:rPr>
            <w:t>(1), 97–109. https://doi.org/10.1891/1053-3073.30.1.97</w:t>
          </w:r>
        </w:p>
        <w:p w14:paraId="6E6E1AAF" w14:textId="77777777" w:rsidR="000A2A8B" w:rsidRPr="00DF6ECA" w:rsidRDefault="000A2A8B" w:rsidP="000A2A8B">
          <w:pPr>
            <w:ind w:left="229" w:hanging="709"/>
            <w:rPr>
              <w:lang w:val="en-US"/>
            </w:rPr>
          </w:pPr>
          <w:r w:rsidRPr="00DF6ECA">
            <w:rPr>
              <w:lang w:val="en-US"/>
            </w:rPr>
            <w:t>Conger, R.D., Conger, K.J., Matthews, L.S. and Elder, G.H. (1999), “Pathways of economic influence on adolescent adjustment”, American Journal of Community Psychology, Vol. 27 No. 4, pp. 519-541.</w:t>
          </w:r>
        </w:p>
        <w:p w14:paraId="1102AB41" w14:textId="77777777" w:rsidR="000A2A8B" w:rsidRPr="00506B2A" w:rsidRDefault="000A2A8B" w:rsidP="00DD6C85">
          <w:pPr>
            <w:autoSpaceDE w:val="0"/>
            <w:autoSpaceDN w:val="0"/>
            <w:ind w:hanging="480"/>
            <w:rPr>
              <w:rFonts w:eastAsia="Times New Roman"/>
              <w:lang w:val="en-US"/>
            </w:rPr>
          </w:pPr>
          <w:proofErr w:type="spellStart"/>
          <w:r w:rsidRPr="00506B2A">
            <w:rPr>
              <w:rFonts w:eastAsia="Times New Roman"/>
              <w:lang w:val="en-US"/>
            </w:rPr>
            <w:t>Cupák</w:t>
          </w:r>
          <w:proofErr w:type="spellEnd"/>
          <w:r w:rsidRPr="00506B2A">
            <w:rPr>
              <w:rFonts w:eastAsia="Times New Roman"/>
              <w:lang w:val="en-US"/>
            </w:rPr>
            <w:t xml:space="preserve">, A., Fessler, P., &amp; </w:t>
          </w:r>
          <w:proofErr w:type="spellStart"/>
          <w:r w:rsidRPr="00506B2A">
            <w:rPr>
              <w:rFonts w:eastAsia="Times New Roman"/>
              <w:lang w:val="en-US"/>
            </w:rPr>
            <w:t>Schneebaum</w:t>
          </w:r>
          <w:proofErr w:type="spellEnd"/>
          <w:r w:rsidRPr="00506B2A">
            <w:rPr>
              <w:rFonts w:eastAsia="Times New Roman"/>
              <w:lang w:val="en-US"/>
            </w:rPr>
            <w:t xml:space="preserve">, A. (2021). Gender differences in risky asset behavior: The importance of self-confidence and </w:t>
          </w:r>
          <w:r w:rsidRPr="00506B2A">
            <w:rPr>
              <w:rFonts w:eastAsia="Times New Roman"/>
              <w:lang w:val="en-US"/>
            </w:rPr>
            <w:lastRenderedPageBreak/>
            <w:t xml:space="preserve">financial literacy. </w:t>
          </w:r>
          <w:r w:rsidRPr="00506B2A">
            <w:rPr>
              <w:rFonts w:eastAsia="Times New Roman"/>
              <w:i/>
              <w:iCs/>
              <w:lang w:val="en-US"/>
            </w:rPr>
            <w:t>Finance Research Letters</w:t>
          </w:r>
          <w:r w:rsidRPr="00506B2A">
            <w:rPr>
              <w:rFonts w:eastAsia="Times New Roman"/>
              <w:lang w:val="en-US"/>
            </w:rPr>
            <w:t xml:space="preserve">, </w:t>
          </w:r>
          <w:r w:rsidRPr="00506B2A">
            <w:rPr>
              <w:rFonts w:eastAsia="Times New Roman"/>
              <w:i/>
              <w:iCs/>
              <w:lang w:val="en-US"/>
            </w:rPr>
            <w:t>42</w:t>
          </w:r>
          <w:r w:rsidRPr="00506B2A">
            <w:rPr>
              <w:rFonts w:eastAsia="Times New Roman"/>
              <w:lang w:val="en-US"/>
            </w:rPr>
            <w:t>. https://doi.org/10.1016/j.frl.2020.101880</w:t>
          </w:r>
        </w:p>
        <w:p w14:paraId="2E70A3DF" w14:textId="77777777" w:rsidR="000A2A8B" w:rsidRPr="00506B2A" w:rsidRDefault="000A2A8B" w:rsidP="000A2A8B">
          <w:pPr>
            <w:autoSpaceDE w:val="0"/>
            <w:autoSpaceDN w:val="0"/>
            <w:ind w:hanging="480"/>
            <w:rPr>
              <w:rFonts w:eastAsia="Times New Roman"/>
              <w:lang w:val="en-US"/>
            </w:rPr>
          </w:pPr>
          <w:proofErr w:type="spellStart"/>
          <w:r w:rsidRPr="00506B2A">
            <w:rPr>
              <w:rFonts w:eastAsia="Times New Roman"/>
              <w:lang w:val="en-US"/>
            </w:rPr>
            <w:t>Cupák</w:t>
          </w:r>
          <w:proofErr w:type="spellEnd"/>
          <w:r w:rsidRPr="00506B2A">
            <w:rPr>
              <w:rFonts w:eastAsia="Times New Roman"/>
              <w:lang w:val="en-US"/>
            </w:rPr>
            <w:t xml:space="preserve">, A., Fessler, P., &amp; </w:t>
          </w:r>
          <w:proofErr w:type="spellStart"/>
          <w:r w:rsidRPr="00506B2A">
            <w:rPr>
              <w:rFonts w:eastAsia="Times New Roman"/>
              <w:lang w:val="en-US"/>
            </w:rPr>
            <w:t>Schneebaum</w:t>
          </w:r>
          <w:proofErr w:type="spellEnd"/>
          <w:r w:rsidRPr="00506B2A">
            <w:rPr>
              <w:rFonts w:eastAsia="Times New Roman"/>
              <w:lang w:val="en-US"/>
            </w:rPr>
            <w:t xml:space="preserve">, A. (2021). Gender differences in risky asset behavior: The importance of self-confidence and financial literacy. </w:t>
          </w:r>
          <w:r w:rsidRPr="00506B2A">
            <w:rPr>
              <w:rFonts w:eastAsia="Times New Roman"/>
              <w:i/>
              <w:iCs/>
              <w:lang w:val="en-US"/>
            </w:rPr>
            <w:t>Finance Research Letters</w:t>
          </w:r>
          <w:r w:rsidRPr="00506B2A">
            <w:rPr>
              <w:rFonts w:eastAsia="Times New Roman"/>
              <w:lang w:val="en-US"/>
            </w:rPr>
            <w:t xml:space="preserve">, </w:t>
          </w:r>
          <w:r w:rsidRPr="00506B2A">
            <w:rPr>
              <w:rFonts w:eastAsia="Times New Roman"/>
              <w:i/>
              <w:iCs/>
              <w:lang w:val="en-US"/>
            </w:rPr>
            <w:t>42</w:t>
          </w:r>
          <w:r w:rsidRPr="00506B2A">
            <w:rPr>
              <w:rFonts w:eastAsia="Times New Roman"/>
              <w:lang w:val="en-US"/>
            </w:rPr>
            <w:t>. https://doi.org/10.1016/j.frl.2020.101880</w:t>
          </w:r>
        </w:p>
        <w:p w14:paraId="324B71E3" w14:textId="77777777" w:rsidR="000A2A8B" w:rsidRPr="00892BDC" w:rsidRDefault="000A2A8B" w:rsidP="00DD6C85">
          <w:pPr>
            <w:autoSpaceDE w:val="0"/>
            <w:autoSpaceDN w:val="0"/>
            <w:ind w:hanging="480"/>
            <w:rPr>
              <w:rFonts w:eastAsia="Times New Roman"/>
              <w:lang w:val="en-US"/>
            </w:rPr>
          </w:pPr>
          <w:proofErr w:type="spellStart"/>
          <w:r w:rsidRPr="00506B2A">
            <w:rPr>
              <w:rFonts w:eastAsia="Times New Roman"/>
              <w:lang w:val="en-US"/>
            </w:rPr>
            <w:t>Cupák</w:t>
          </w:r>
          <w:proofErr w:type="spellEnd"/>
          <w:r w:rsidRPr="00506B2A">
            <w:rPr>
              <w:rFonts w:eastAsia="Times New Roman"/>
              <w:lang w:val="en-US"/>
            </w:rPr>
            <w:t xml:space="preserve">, A., Fessler, P., </w:t>
          </w:r>
          <w:proofErr w:type="spellStart"/>
          <w:r w:rsidRPr="00506B2A">
            <w:rPr>
              <w:rFonts w:eastAsia="Times New Roman"/>
              <w:lang w:val="en-US"/>
            </w:rPr>
            <w:t>Schneebaum</w:t>
          </w:r>
          <w:proofErr w:type="spellEnd"/>
          <w:r w:rsidRPr="00506B2A">
            <w:rPr>
              <w:rFonts w:eastAsia="Times New Roman"/>
              <w:lang w:val="en-US"/>
            </w:rPr>
            <w:t xml:space="preserve">, A., &amp; </w:t>
          </w:r>
          <w:proofErr w:type="spellStart"/>
          <w:r w:rsidRPr="00506B2A">
            <w:rPr>
              <w:rFonts w:eastAsia="Times New Roman"/>
              <w:lang w:val="en-US"/>
            </w:rPr>
            <w:t>Silgoner</w:t>
          </w:r>
          <w:proofErr w:type="spellEnd"/>
          <w:r w:rsidRPr="00506B2A">
            <w:rPr>
              <w:rFonts w:eastAsia="Times New Roman"/>
              <w:lang w:val="en-US"/>
            </w:rPr>
            <w:t xml:space="preserve">, M. (2018). Decomposing gender gaps in financial literacy: New international evidence. </w:t>
          </w:r>
          <w:r w:rsidRPr="00892BDC">
            <w:rPr>
              <w:rFonts w:eastAsia="Times New Roman"/>
              <w:i/>
              <w:iCs/>
              <w:lang w:val="en-US"/>
            </w:rPr>
            <w:t>Economics Letters</w:t>
          </w:r>
          <w:r w:rsidRPr="00892BDC">
            <w:rPr>
              <w:rFonts w:eastAsia="Times New Roman"/>
              <w:lang w:val="en-US"/>
            </w:rPr>
            <w:t xml:space="preserve">, </w:t>
          </w:r>
          <w:r w:rsidRPr="00892BDC">
            <w:rPr>
              <w:rFonts w:eastAsia="Times New Roman"/>
              <w:i/>
              <w:iCs/>
              <w:lang w:val="en-US"/>
            </w:rPr>
            <w:t>168</w:t>
          </w:r>
          <w:r w:rsidRPr="00892BDC">
            <w:rPr>
              <w:rFonts w:eastAsia="Times New Roman"/>
              <w:lang w:val="en-US"/>
            </w:rPr>
            <w:t>, 102–106. https://doi.org/10.1016/j.econlet.2018.04.004</w:t>
          </w:r>
        </w:p>
        <w:p w14:paraId="135CDD12" w14:textId="77777777" w:rsidR="000A2A8B" w:rsidRPr="000A2A8B" w:rsidRDefault="000A2A8B" w:rsidP="000A2A8B">
          <w:pPr>
            <w:autoSpaceDE w:val="0"/>
            <w:autoSpaceDN w:val="0"/>
            <w:ind w:hanging="480"/>
            <w:rPr>
              <w:rFonts w:eastAsia="Times New Roman"/>
              <w:lang w:val="en-US"/>
            </w:rPr>
          </w:pPr>
          <w:proofErr w:type="spellStart"/>
          <w:r w:rsidRPr="00506B2A">
            <w:rPr>
              <w:rFonts w:eastAsia="Times New Roman"/>
              <w:lang w:val="en-US"/>
            </w:rPr>
            <w:t>Cupák</w:t>
          </w:r>
          <w:proofErr w:type="spellEnd"/>
          <w:r w:rsidRPr="00506B2A">
            <w:rPr>
              <w:rFonts w:eastAsia="Times New Roman"/>
              <w:lang w:val="en-US"/>
            </w:rPr>
            <w:t xml:space="preserve">, A., Fessler, P., </w:t>
          </w:r>
          <w:proofErr w:type="spellStart"/>
          <w:r w:rsidRPr="00506B2A">
            <w:rPr>
              <w:rFonts w:eastAsia="Times New Roman"/>
              <w:lang w:val="en-US"/>
            </w:rPr>
            <w:t>Schneebaum</w:t>
          </w:r>
          <w:proofErr w:type="spellEnd"/>
          <w:r w:rsidRPr="00506B2A">
            <w:rPr>
              <w:rFonts w:eastAsia="Times New Roman"/>
              <w:lang w:val="en-US"/>
            </w:rPr>
            <w:t xml:space="preserve">, A., &amp; </w:t>
          </w:r>
          <w:proofErr w:type="spellStart"/>
          <w:r w:rsidRPr="00506B2A">
            <w:rPr>
              <w:rFonts w:eastAsia="Times New Roman"/>
              <w:lang w:val="en-US"/>
            </w:rPr>
            <w:t>Silgoner</w:t>
          </w:r>
          <w:proofErr w:type="spellEnd"/>
          <w:r w:rsidRPr="00506B2A">
            <w:rPr>
              <w:rFonts w:eastAsia="Times New Roman"/>
              <w:lang w:val="en-US"/>
            </w:rPr>
            <w:t xml:space="preserve">, M. (2018). Decomposing gender gaps in financial literacy: New international evidence. </w:t>
          </w:r>
          <w:r w:rsidRPr="000A2A8B">
            <w:rPr>
              <w:rFonts w:eastAsia="Times New Roman"/>
              <w:i/>
              <w:iCs/>
              <w:lang w:val="en-US"/>
            </w:rPr>
            <w:t>Economics Letters</w:t>
          </w:r>
          <w:r w:rsidRPr="000A2A8B">
            <w:rPr>
              <w:rFonts w:eastAsia="Times New Roman"/>
              <w:lang w:val="en-US"/>
            </w:rPr>
            <w:t xml:space="preserve">, </w:t>
          </w:r>
          <w:r w:rsidRPr="000A2A8B">
            <w:rPr>
              <w:rFonts w:eastAsia="Times New Roman"/>
              <w:i/>
              <w:iCs/>
              <w:lang w:val="en-US"/>
            </w:rPr>
            <w:t>168</w:t>
          </w:r>
          <w:r w:rsidRPr="000A2A8B">
            <w:rPr>
              <w:rFonts w:eastAsia="Times New Roman"/>
              <w:lang w:val="en-US"/>
            </w:rPr>
            <w:t>, 102–106. https://doi.org/10.1016/j.econlet.2018.04.004</w:t>
          </w:r>
        </w:p>
        <w:p w14:paraId="6C99B994" w14:textId="77777777" w:rsidR="000A2A8B" w:rsidRPr="00506B2A" w:rsidRDefault="000A2A8B" w:rsidP="00DD6C85">
          <w:pPr>
            <w:autoSpaceDE w:val="0"/>
            <w:autoSpaceDN w:val="0"/>
            <w:ind w:hanging="480"/>
            <w:rPr>
              <w:rFonts w:eastAsia="Times New Roman"/>
              <w:lang w:val="en-US"/>
            </w:rPr>
          </w:pPr>
          <w:proofErr w:type="spellStart"/>
          <w:r w:rsidRPr="00506B2A">
            <w:rPr>
              <w:rFonts w:eastAsia="Times New Roman"/>
              <w:lang w:val="en-US"/>
            </w:rPr>
            <w:t>Driva</w:t>
          </w:r>
          <w:proofErr w:type="spellEnd"/>
          <w:r w:rsidRPr="00506B2A">
            <w:rPr>
              <w:rFonts w:eastAsia="Times New Roman"/>
              <w:lang w:val="en-US"/>
            </w:rPr>
            <w:t xml:space="preserve">, A., </w:t>
          </w:r>
          <w:proofErr w:type="spellStart"/>
          <w:r w:rsidRPr="00506B2A">
            <w:rPr>
              <w:rFonts w:eastAsia="Times New Roman"/>
              <w:lang w:val="en-US"/>
            </w:rPr>
            <w:t>Lührmann</w:t>
          </w:r>
          <w:proofErr w:type="spellEnd"/>
          <w:r w:rsidRPr="00506B2A">
            <w:rPr>
              <w:rFonts w:eastAsia="Times New Roman"/>
              <w:lang w:val="en-US"/>
            </w:rPr>
            <w:t xml:space="preserve">, M., &amp; Winter, J. (2016). Gender differences and stereotypes in financial literacy: Off to an early start. </w:t>
          </w:r>
          <w:r w:rsidRPr="00506B2A">
            <w:rPr>
              <w:rFonts w:eastAsia="Times New Roman"/>
              <w:i/>
              <w:iCs/>
              <w:lang w:val="en-US"/>
            </w:rPr>
            <w:t>Economics Letters</w:t>
          </w:r>
          <w:r w:rsidRPr="00506B2A">
            <w:rPr>
              <w:rFonts w:eastAsia="Times New Roman"/>
              <w:lang w:val="en-US"/>
            </w:rPr>
            <w:t xml:space="preserve">, </w:t>
          </w:r>
          <w:r w:rsidRPr="00506B2A">
            <w:rPr>
              <w:rFonts w:eastAsia="Times New Roman"/>
              <w:i/>
              <w:iCs/>
              <w:lang w:val="en-US"/>
            </w:rPr>
            <w:t>146</w:t>
          </w:r>
          <w:r w:rsidRPr="00506B2A">
            <w:rPr>
              <w:rFonts w:eastAsia="Times New Roman"/>
              <w:lang w:val="en-US"/>
            </w:rPr>
            <w:t>, 143–146. https://doi.org/10.1016/j.econlet.2016.07.029</w:t>
          </w:r>
        </w:p>
        <w:p w14:paraId="60714BE3" w14:textId="77777777" w:rsidR="000A2A8B" w:rsidRPr="00506B2A" w:rsidRDefault="000A2A8B" w:rsidP="00DD6C85">
          <w:pPr>
            <w:autoSpaceDE w:val="0"/>
            <w:autoSpaceDN w:val="0"/>
            <w:ind w:hanging="480"/>
            <w:rPr>
              <w:rFonts w:eastAsia="Times New Roman"/>
              <w:lang w:val="en-US"/>
            </w:rPr>
          </w:pPr>
          <w:r w:rsidRPr="00506B2A">
            <w:rPr>
              <w:rFonts w:eastAsia="Times New Roman"/>
              <w:lang w:val="en-US"/>
            </w:rPr>
            <w:t xml:space="preserve">Fonseca, R., &amp; Lord, S. (2019). </w:t>
          </w:r>
          <w:r w:rsidRPr="00506B2A">
            <w:rPr>
              <w:rFonts w:eastAsia="Times New Roman"/>
              <w:i/>
              <w:iCs/>
              <w:lang w:val="en-US"/>
            </w:rPr>
            <w:t>Canadian Gender Gap in Financial Literacy: Confidence Matters</w:t>
          </w:r>
          <w:r w:rsidRPr="00506B2A">
            <w:rPr>
              <w:rFonts w:eastAsia="Times New Roman"/>
              <w:lang w:val="en-US"/>
            </w:rPr>
            <w:t>. http://economie.esg.uqam.ca</w:t>
          </w:r>
        </w:p>
        <w:p w14:paraId="75793DAC" w14:textId="77777777" w:rsidR="000A2A8B" w:rsidRPr="00506B2A" w:rsidRDefault="000A2A8B" w:rsidP="00DD6C85">
          <w:pPr>
            <w:autoSpaceDE w:val="0"/>
            <w:autoSpaceDN w:val="0"/>
            <w:ind w:hanging="480"/>
            <w:rPr>
              <w:rFonts w:eastAsia="Times New Roman"/>
              <w:lang w:val="en-US"/>
            </w:rPr>
          </w:pPr>
          <w:r>
            <w:rPr>
              <w:rFonts w:eastAsia="Times New Roman"/>
            </w:rPr>
            <w:t xml:space="preserve">Fonseca, R., Mullen, K. J., Zamarro, G., &amp; </w:t>
          </w:r>
          <w:proofErr w:type="spellStart"/>
          <w:r>
            <w:rPr>
              <w:rFonts w:eastAsia="Times New Roman"/>
            </w:rPr>
            <w:t>Zissimopoulos</w:t>
          </w:r>
          <w:proofErr w:type="spellEnd"/>
          <w:r>
            <w:rPr>
              <w:rFonts w:eastAsia="Times New Roman"/>
            </w:rPr>
            <w:t xml:space="preserve">, J. (2012). </w:t>
          </w:r>
          <w:r w:rsidRPr="00506B2A">
            <w:rPr>
              <w:rFonts w:eastAsia="Times New Roman"/>
              <w:lang w:val="en-US"/>
            </w:rPr>
            <w:t xml:space="preserve">What Explains the Gender Gap in Financial Literacy? The Role of Household Decision Making. </w:t>
          </w:r>
          <w:r w:rsidRPr="00506B2A">
            <w:rPr>
              <w:rFonts w:eastAsia="Times New Roman"/>
              <w:i/>
              <w:iCs/>
              <w:lang w:val="en-US"/>
            </w:rPr>
            <w:t>Journal of Consumer Affairs</w:t>
          </w:r>
          <w:r w:rsidRPr="00506B2A">
            <w:rPr>
              <w:rFonts w:eastAsia="Times New Roman"/>
              <w:lang w:val="en-US"/>
            </w:rPr>
            <w:t xml:space="preserve">, </w:t>
          </w:r>
          <w:r w:rsidRPr="00506B2A">
            <w:rPr>
              <w:rFonts w:eastAsia="Times New Roman"/>
              <w:i/>
              <w:iCs/>
              <w:lang w:val="en-US"/>
            </w:rPr>
            <w:t>46</w:t>
          </w:r>
          <w:r w:rsidRPr="00506B2A">
            <w:rPr>
              <w:rFonts w:eastAsia="Times New Roman"/>
              <w:lang w:val="en-US"/>
            </w:rPr>
            <w:t>(1), 90–106. https://doi.org/10.1111/j.1745-6606.2011.01221.x</w:t>
          </w:r>
        </w:p>
        <w:p w14:paraId="473FD324" w14:textId="77777777" w:rsidR="000A2A8B" w:rsidRPr="00DF6ECA" w:rsidRDefault="000A2A8B" w:rsidP="000A2A8B">
          <w:pPr>
            <w:ind w:left="229" w:hanging="709"/>
            <w:rPr>
              <w:lang w:val="en-US"/>
            </w:rPr>
          </w:pPr>
          <w:r w:rsidRPr="00DF6ECA">
            <w:rPr>
              <w:lang w:val="en-US"/>
            </w:rPr>
            <w:t>G20 Principles for Innovative Financial Inclusion (2010) developed by Global Partnership for Financial Inclusion</w:t>
          </w:r>
          <w:r>
            <w:rPr>
              <w:lang w:val="en-US"/>
            </w:rPr>
            <w:t xml:space="preserve">. </w:t>
          </w:r>
        </w:p>
        <w:p w14:paraId="7693D608" w14:textId="77777777" w:rsidR="000A2A8B" w:rsidRDefault="000A2A8B" w:rsidP="00DD6C85">
          <w:pPr>
            <w:autoSpaceDE w:val="0"/>
            <w:autoSpaceDN w:val="0"/>
            <w:ind w:hanging="480"/>
            <w:rPr>
              <w:rFonts w:eastAsia="Times New Roman"/>
            </w:rPr>
          </w:pPr>
          <w:r>
            <w:rPr>
              <w:rFonts w:eastAsia="Times New Roman"/>
            </w:rPr>
            <w:t xml:space="preserve">García, N., </w:t>
          </w:r>
          <w:proofErr w:type="spellStart"/>
          <w:r>
            <w:rPr>
              <w:rFonts w:eastAsia="Times New Roman"/>
            </w:rPr>
            <w:t>Grifoni</w:t>
          </w:r>
          <w:proofErr w:type="spellEnd"/>
          <w:r>
            <w:rPr>
              <w:rFonts w:eastAsia="Times New Roman"/>
            </w:rPr>
            <w:t xml:space="preserve">, A., Carlos, J., Diana, L., Mejía, M., De, B., De, D., &amp; Latina, A. (2013). </w:t>
          </w:r>
          <w:r>
            <w:rPr>
              <w:rFonts w:eastAsia="Times New Roman"/>
              <w:i/>
              <w:iCs/>
            </w:rPr>
            <w:t>La educación financiera en América Latina y el Caribe. Situación actual y perspectivas</w:t>
          </w:r>
          <w:r>
            <w:rPr>
              <w:rFonts w:eastAsia="Times New Roman"/>
            </w:rPr>
            <w:t>.</w:t>
          </w:r>
        </w:p>
        <w:p w14:paraId="2086D576" w14:textId="77777777" w:rsidR="000A2A8B" w:rsidRDefault="000A2A8B" w:rsidP="00DD6C85">
          <w:pPr>
            <w:autoSpaceDE w:val="0"/>
            <w:autoSpaceDN w:val="0"/>
            <w:ind w:hanging="480"/>
            <w:rPr>
              <w:rFonts w:eastAsia="Times New Roman"/>
            </w:rPr>
          </w:pPr>
          <w:r>
            <w:rPr>
              <w:rFonts w:eastAsia="Times New Roman"/>
            </w:rPr>
            <w:t xml:space="preserve">García, N., </w:t>
          </w:r>
          <w:proofErr w:type="spellStart"/>
          <w:r>
            <w:rPr>
              <w:rFonts w:eastAsia="Times New Roman"/>
            </w:rPr>
            <w:t>Grigoni</w:t>
          </w:r>
          <w:proofErr w:type="spellEnd"/>
          <w:r>
            <w:rPr>
              <w:rFonts w:eastAsia="Times New Roman"/>
            </w:rPr>
            <w:t xml:space="preserve">, A., López, J., &amp; Mejía, D. (2013). La educación financiera en América Latina y el Caribe. </w:t>
          </w:r>
          <w:r>
            <w:rPr>
              <w:rFonts w:eastAsia="Times New Roman"/>
              <w:i/>
              <w:iCs/>
            </w:rPr>
            <w:t>Corporación Andina de Fomento</w:t>
          </w:r>
          <w:r>
            <w:rPr>
              <w:rFonts w:eastAsia="Times New Roman"/>
            </w:rPr>
            <w:t>.</w:t>
          </w:r>
        </w:p>
        <w:p w14:paraId="6FB7E0B6" w14:textId="77777777" w:rsidR="000A2A8B" w:rsidRDefault="000A2A8B" w:rsidP="00DD6C85">
          <w:pPr>
            <w:autoSpaceDE w:val="0"/>
            <w:autoSpaceDN w:val="0"/>
            <w:ind w:hanging="480"/>
            <w:rPr>
              <w:rFonts w:eastAsia="Times New Roman"/>
              <w:lang w:val="en-US"/>
            </w:rPr>
          </w:pPr>
          <w:r>
            <w:rPr>
              <w:rFonts w:eastAsia="Times New Roman"/>
            </w:rPr>
            <w:t xml:space="preserve">Hernández Rivera, A., &amp; Rendón Rojas, L. (2021). Brecha de género tecnológica en la </w:t>
          </w:r>
          <w:proofErr w:type="spellStart"/>
          <w:r>
            <w:rPr>
              <w:rFonts w:eastAsia="Times New Roman"/>
            </w:rPr>
            <w:t>educacion</w:t>
          </w:r>
          <w:proofErr w:type="spellEnd"/>
          <w:r>
            <w:rPr>
              <w:rFonts w:eastAsia="Times New Roman"/>
            </w:rPr>
            <w:t xml:space="preserve"> financiera universitaria en </w:t>
          </w:r>
          <w:proofErr w:type="spellStart"/>
          <w:r>
            <w:rPr>
              <w:rFonts w:eastAsia="Times New Roman"/>
            </w:rPr>
            <w:t>mexico</w:t>
          </w:r>
          <w:proofErr w:type="spellEnd"/>
          <w:r>
            <w:rPr>
              <w:rFonts w:eastAsia="Times New Roman"/>
            </w:rPr>
            <w:t xml:space="preserve">. </w:t>
          </w:r>
          <w:proofErr w:type="spellStart"/>
          <w:r w:rsidRPr="00506B2A">
            <w:rPr>
              <w:rFonts w:eastAsia="Times New Roman"/>
              <w:i/>
              <w:iCs/>
              <w:lang w:val="en-US"/>
            </w:rPr>
            <w:t>Revista</w:t>
          </w:r>
          <w:proofErr w:type="spellEnd"/>
          <w:r w:rsidRPr="00506B2A">
            <w:rPr>
              <w:rFonts w:eastAsia="Times New Roman"/>
              <w:i/>
              <w:iCs/>
              <w:lang w:val="en-US"/>
            </w:rPr>
            <w:t xml:space="preserve"> </w:t>
          </w:r>
          <w:proofErr w:type="spellStart"/>
          <w:r w:rsidRPr="00506B2A">
            <w:rPr>
              <w:rFonts w:eastAsia="Times New Roman"/>
              <w:i/>
              <w:iCs/>
              <w:lang w:val="en-US"/>
            </w:rPr>
            <w:t>Venezolana</w:t>
          </w:r>
          <w:proofErr w:type="spellEnd"/>
          <w:r w:rsidRPr="00506B2A">
            <w:rPr>
              <w:rFonts w:eastAsia="Times New Roman"/>
              <w:i/>
              <w:iCs/>
              <w:lang w:val="en-US"/>
            </w:rPr>
            <w:t xml:space="preserve"> de </w:t>
          </w:r>
          <w:proofErr w:type="spellStart"/>
          <w:r w:rsidRPr="00506B2A">
            <w:rPr>
              <w:rFonts w:eastAsia="Times New Roman"/>
              <w:i/>
              <w:iCs/>
              <w:lang w:val="en-US"/>
            </w:rPr>
            <w:t>Gerencia</w:t>
          </w:r>
          <w:proofErr w:type="spellEnd"/>
          <w:r w:rsidRPr="00506B2A">
            <w:rPr>
              <w:rFonts w:eastAsia="Times New Roman"/>
              <w:lang w:val="en-US"/>
            </w:rPr>
            <w:t xml:space="preserve">, </w:t>
          </w:r>
          <w:r w:rsidRPr="00506B2A">
            <w:rPr>
              <w:rFonts w:eastAsia="Times New Roman"/>
              <w:i/>
              <w:iCs/>
              <w:lang w:val="en-US"/>
            </w:rPr>
            <w:t>26</w:t>
          </w:r>
          <w:r w:rsidRPr="00506B2A">
            <w:rPr>
              <w:rFonts w:eastAsia="Times New Roman"/>
              <w:lang w:val="en-US"/>
            </w:rPr>
            <w:t>(93).</w:t>
          </w:r>
        </w:p>
        <w:p w14:paraId="7C34A5F1" w14:textId="77777777" w:rsidR="000A2A8B" w:rsidRPr="00506B2A" w:rsidRDefault="000A2A8B" w:rsidP="00E9233C">
          <w:pPr>
            <w:autoSpaceDE w:val="0"/>
            <w:autoSpaceDN w:val="0"/>
            <w:ind w:hanging="480"/>
            <w:rPr>
              <w:rFonts w:eastAsia="Times New Roman"/>
              <w:lang w:val="en-US"/>
            </w:rPr>
          </w:pPr>
          <w:proofErr w:type="spellStart"/>
          <w:r w:rsidRPr="00506B2A">
            <w:rPr>
              <w:rFonts w:eastAsia="Times New Roman"/>
              <w:lang w:val="en-US"/>
            </w:rPr>
            <w:t>Klapper</w:t>
          </w:r>
          <w:proofErr w:type="spellEnd"/>
          <w:r w:rsidRPr="00506B2A">
            <w:rPr>
              <w:rFonts w:eastAsia="Times New Roman"/>
              <w:lang w:val="en-US"/>
            </w:rPr>
            <w:t xml:space="preserve">, L., &amp; Lusardi, A. (2020). Financial literacy and financial resilience: Evidence from around the world. </w:t>
          </w:r>
          <w:r w:rsidRPr="00506B2A">
            <w:rPr>
              <w:rFonts w:eastAsia="Times New Roman"/>
              <w:i/>
              <w:iCs/>
              <w:lang w:val="en-US"/>
            </w:rPr>
            <w:t>Financial Management</w:t>
          </w:r>
          <w:r w:rsidRPr="00506B2A">
            <w:rPr>
              <w:rFonts w:eastAsia="Times New Roman"/>
              <w:lang w:val="en-US"/>
            </w:rPr>
            <w:t xml:space="preserve">, </w:t>
          </w:r>
          <w:r w:rsidRPr="00506B2A">
            <w:rPr>
              <w:rFonts w:eastAsia="Times New Roman"/>
              <w:i/>
              <w:iCs/>
              <w:lang w:val="en-US"/>
            </w:rPr>
            <w:t>49</w:t>
          </w:r>
          <w:r w:rsidRPr="00506B2A">
            <w:rPr>
              <w:rFonts w:eastAsia="Times New Roman"/>
              <w:lang w:val="en-US"/>
            </w:rPr>
            <w:t>(3), 589–614. https://doi.org/10.1111/fima.12283</w:t>
          </w:r>
        </w:p>
        <w:p w14:paraId="0ACF0A43" w14:textId="77777777" w:rsidR="000A2A8B" w:rsidRPr="00506B2A" w:rsidRDefault="000A2A8B" w:rsidP="00DD6C85">
          <w:pPr>
            <w:autoSpaceDE w:val="0"/>
            <w:autoSpaceDN w:val="0"/>
            <w:ind w:hanging="480"/>
            <w:rPr>
              <w:rFonts w:eastAsia="Times New Roman"/>
              <w:lang w:val="en-US"/>
            </w:rPr>
          </w:pPr>
          <w:r w:rsidRPr="00506B2A">
            <w:rPr>
              <w:rFonts w:eastAsia="Times New Roman"/>
              <w:lang w:val="en-US"/>
            </w:rPr>
            <w:lastRenderedPageBreak/>
            <w:t xml:space="preserve">Lusardi, A., &amp; Mitchell, O. S. (2008). Planning and Financial Literacy: How Do Women Fare? </w:t>
          </w:r>
          <w:r w:rsidRPr="00506B2A">
            <w:rPr>
              <w:rFonts w:eastAsia="Times New Roman"/>
              <w:i/>
              <w:iCs/>
              <w:lang w:val="en-US"/>
            </w:rPr>
            <w:t>American Economic Review</w:t>
          </w:r>
          <w:r w:rsidRPr="00506B2A">
            <w:rPr>
              <w:rFonts w:eastAsia="Times New Roman"/>
              <w:lang w:val="en-US"/>
            </w:rPr>
            <w:t xml:space="preserve">, </w:t>
          </w:r>
          <w:r w:rsidRPr="00506B2A">
            <w:rPr>
              <w:rFonts w:eastAsia="Times New Roman"/>
              <w:i/>
              <w:iCs/>
              <w:lang w:val="en-US"/>
            </w:rPr>
            <w:t>98</w:t>
          </w:r>
          <w:r w:rsidRPr="00506B2A">
            <w:rPr>
              <w:rFonts w:eastAsia="Times New Roman"/>
              <w:lang w:val="en-US"/>
            </w:rPr>
            <w:t>(2), 413–417. https://doi.org/10.1257/aer.98.2.413</w:t>
          </w:r>
        </w:p>
        <w:p w14:paraId="43C95B9F" w14:textId="77777777" w:rsidR="000A2A8B" w:rsidRPr="00506B2A" w:rsidRDefault="000A2A8B" w:rsidP="00DD6C85">
          <w:pPr>
            <w:autoSpaceDE w:val="0"/>
            <w:autoSpaceDN w:val="0"/>
            <w:ind w:hanging="480"/>
            <w:rPr>
              <w:rFonts w:eastAsia="Times New Roman"/>
              <w:lang w:val="en-US"/>
            </w:rPr>
          </w:pPr>
          <w:proofErr w:type="spellStart"/>
          <w:r w:rsidRPr="00506B2A">
            <w:rPr>
              <w:rFonts w:eastAsia="Times New Roman"/>
              <w:lang w:val="en-US"/>
            </w:rPr>
            <w:t>Mukong</w:t>
          </w:r>
          <w:proofErr w:type="spellEnd"/>
          <w:r w:rsidRPr="00506B2A">
            <w:rPr>
              <w:rFonts w:eastAsia="Times New Roman"/>
              <w:lang w:val="en-US"/>
            </w:rPr>
            <w:t xml:space="preserve">, A., </w:t>
          </w:r>
          <w:proofErr w:type="spellStart"/>
          <w:r w:rsidRPr="00506B2A">
            <w:rPr>
              <w:rFonts w:eastAsia="Times New Roman"/>
              <w:lang w:val="en-US"/>
            </w:rPr>
            <w:t>Shiwayu</w:t>
          </w:r>
          <w:proofErr w:type="spellEnd"/>
          <w:r w:rsidRPr="00506B2A">
            <w:rPr>
              <w:rFonts w:eastAsia="Times New Roman"/>
              <w:lang w:val="en-US"/>
            </w:rPr>
            <w:t xml:space="preserve">, N., &amp; </w:t>
          </w:r>
          <w:proofErr w:type="spellStart"/>
          <w:r w:rsidRPr="00506B2A">
            <w:rPr>
              <w:rFonts w:eastAsia="Times New Roman"/>
              <w:lang w:val="en-US"/>
            </w:rPr>
            <w:t>Kaulihowa</w:t>
          </w:r>
          <w:proofErr w:type="spellEnd"/>
          <w:r w:rsidRPr="00506B2A">
            <w:rPr>
              <w:rFonts w:eastAsia="Times New Roman"/>
              <w:lang w:val="en-US"/>
            </w:rPr>
            <w:t xml:space="preserve">, T. (2020). A decomposition of the gender gap in financial inclusion: Evidence from Namibia. </w:t>
          </w:r>
          <w:r w:rsidRPr="00506B2A">
            <w:rPr>
              <w:rFonts w:eastAsia="Times New Roman"/>
              <w:i/>
              <w:iCs/>
              <w:lang w:val="en-US"/>
            </w:rPr>
            <w:t>African Journal of Business and Economic Research</w:t>
          </w:r>
          <w:r w:rsidRPr="00506B2A">
            <w:rPr>
              <w:rFonts w:eastAsia="Times New Roman"/>
              <w:lang w:val="en-US"/>
            </w:rPr>
            <w:t xml:space="preserve">, </w:t>
          </w:r>
          <w:r w:rsidRPr="00506B2A">
            <w:rPr>
              <w:rFonts w:eastAsia="Times New Roman"/>
              <w:i/>
              <w:iCs/>
              <w:lang w:val="en-US"/>
            </w:rPr>
            <w:t>15</w:t>
          </w:r>
          <w:r w:rsidRPr="00506B2A">
            <w:rPr>
              <w:rFonts w:eastAsia="Times New Roman"/>
              <w:lang w:val="en-US"/>
            </w:rPr>
            <w:t>(4), 149–169. https://doi.org/10.31920/1750-4562/2020/V15N4A7</w:t>
          </w:r>
        </w:p>
        <w:p w14:paraId="1ECCADD8" w14:textId="77777777" w:rsidR="000A2A8B" w:rsidRDefault="000A2A8B" w:rsidP="00DD6C85">
          <w:pPr>
            <w:autoSpaceDE w:val="0"/>
            <w:autoSpaceDN w:val="0"/>
            <w:ind w:hanging="480"/>
            <w:rPr>
              <w:rFonts w:eastAsia="Times New Roman"/>
            </w:rPr>
          </w:pPr>
          <w:r>
            <w:rPr>
              <w:rFonts w:eastAsia="Times New Roman"/>
            </w:rPr>
            <w:t xml:space="preserve">OCDE, &amp; CAF. (2020). </w:t>
          </w:r>
          <w:r>
            <w:rPr>
              <w:rFonts w:eastAsia="Times New Roman"/>
              <w:i/>
              <w:iCs/>
            </w:rPr>
            <w:t>Estrategias nacionales de inclusión y educación financiera en América Latina y el Caribe: retos de implementación</w:t>
          </w:r>
          <w:r>
            <w:rPr>
              <w:rFonts w:eastAsia="Times New Roman"/>
            </w:rPr>
            <w:t>.</w:t>
          </w:r>
        </w:p>
        <w:p w14:paraId="2D35EB19" w14:textId="77777777" w:rsidR="000A2A8B" w:rsidRPr="00506B2A" w:rsidRDefault="000A2A8B" w:rsidP="00DD6C85">
          <w:pPr>
            <w:autoSpaceDE w:val="0"/>
            <w:autoSpaceDN w:val="0"/>
            <w:ind w:hanging="480"/>
            <w:rPr>
              <w:rFonts w:eastAsia="Times New Roman"/>
              <w:lang w:val="en-US"/>
            </w:rPr>
          </w:pPr>
          <w:r w:rsidRPr="00506B2A">
            <w:rPr>
              <w:rFonts w:eastAsia="Times New Roman"/>
              <w:lang w:val="en-US"/>
            </w:rPr>
            <w:t xml:space="preserve">OCDE. (2020). </w:t>
          </w:r>
          <w:r w:rsidRPr="00506B2A">
            <w:rPr>
              <w:rFonts w:eastAsia="Times New Roman"/>
              <w:i/>
              <w:iCs/>
              <w:lang w:val="en-US"/>
            </w:rPr>
            <w:t>OECD/INFE 2020 International Survey of Adult Financial Literacy</w:t>
          </w:r>
          <w:r w:rsidRPr="00506B2A">
            <w:rPr>
              <w:rFonts w:eastAsia="Times New Roman"/>
              <w:lang w:val="en-US"/>
            </w:rPr>
            <w:t>.</w:t>
          </w:r>
        </w:p>
        <w:p w14:paraId="0888D755" w14:textId="77777777" w:rsidR="000A2A8B" w:rsidRPr="00506B2A" w:rsidRDefault="000A2A8B" w:rsidP="00DD6C85">
          <w:pPr>
            <w:autoSpaceDE w:val="0"/>
            <w:autoSpaceDN w:val="0"/>
            <w:ind w:hanging="480"/>
            <w:rPr>
              <w:rFonts w:eastAsia="Times New Roman"/>
              <w:lang w:val="en-US"/>
            </w:rPr>
          </w:pPr>
          <w:r w:rsidRPr="00506B2A">
            <w:rPr>
              <w:rFonts w:eastAsia="Times New Roman"/>
              <w:lang w:val="en-US"/>
            </w:rPr>
            <w:t xml:space="preserve">OECD. (2009). </w:t>
          </w:r>
          <w:r w:rsidRPr="00506B2A">
            <w:rPr>
              <w:rFonts w:eastAsia="Times New Roman"/>
              <w:i/>
              <w:iCs/>
              <w:lang w:val="en-US"/>
            </w:rPr>
            <w:t>Education at a Glance 2009</w:t>
          </w:r>
          <w:r w:rsidRPr="00506B2A">
            <w:rPr>
              <w:rFonts w:eastAsia="Times New Roman"/>
              <w:lang w:val="en-US"/>
            </w:rPr>
            <w:t>. https://www.oecd.org/education/skills-beyond-school/43636332.pdf</w:t>
          </w:r>
        </w:p>
        <w:p w14:paraId="04B982AB" w14:textId="77777777" w:rsidR="000A2A8B" w:rsidRPr="00A1439A" w:rsidRDefault="000A2A8B" w:rsidP="000A2A8B">
          <w:pPr>
            <w:ind w:left="229" w:hanging="709"/>
          </w:pPr>
          <w:r w:rsidRPr="00317371">
            <w:t xml:space="preserve">Organización de las Naciones Unidas O.N.U. (2016). </w:t>
          </w:r>
          <w:r w:rsidRPr="00A1439A">
            <w:t>IGUALDAD DE GÉNERO: POR QUÉ ES IMPORTANTE. Objetivos de desarrollo sostenible. https://www.un.org/sustainabledevelopment/es/wp-content/uploads/sites/3/2016/10/5_Spanish_Why_it_Matters.pdf</w:t>
          </w:r>
        </w:p>
        <w:p w14:paraId="5BD682BB" w14:textId="77777777" w:rsidR="000A2A8B" w:rsidRPr="00506B2A" w:rsidRDefault="000A2A8B" w:rsidP="00DD6C85">
          <w:pPr>
            <w:autoSpaceDE w:val="0"/>
            <w:autoSpaceDN w:val="0"/>
            <w:ind w:hanging="480"/>
            <w:rPr>
              <w:rFonts w:eastAsia="Times New Roman"/>
              <w:lang w:val="en-US"/>
            </w:rPr>
          </w:pPr>
          <w:r w:rsidRPr="00506B2A">
            <w:rPr>
              <w:rFonts w:eastAsia="Times New Roman"/>
              <w:lang w:val="en-US"/>
            </w:rPr>
            <w:t xml:space="preserve">Preston, A. C., &amp; Wright, R. E. (2019). Understanding the Gender Gap in Financial Literacy: Evidence from Australia. </w:t>
          </w:r>
          <w:r w:rsidRPr="00506B2A">
            <w:rPr>
              <w:rFonts w:eastAsia="Times New Roman"/>
              <w:i/>
              <w:iCs/>
              <w:lang w:val="en-US"/>
            </w:rPr>
            <w:t>Economic Society of Australia</w:t>
          </w:r>
          <w:r w:rsidRPr="00506B2A">
            <w:rPr>
              <w:rFonts w:eastAsia="Times New Roman"/>
              <w:lang w:val="en-US"/>
            </w:rPr>
            <w:t xml:space="preserve">, </w:t>
          </w:r>
          <w:r w:rsidRPr="00506B2A">
            <w:rPr>
              <w:rFonts w:eastAsia="Times New Roman"/>
              <w:i/>
              <w:iCs/>
              <w:lang w:val="en-US"/>
            </w:rPr>
            <w:t>95</w:t>
          </w:r>
          <w:r w:rsidRPr="00506B2A">
            <w:rPr>
              <w:rFonts w:eastAsia="Times New Roman"/>
              <w:lang w:val="en-US"/>
            </w:rPr>
            <w:t>(S1), 1–29. https://doi.org/10.1111/1475-4932.12472</w:t>
          </w:r>
        </w:p>
        <w:p w14:paraId="4F622B01" w14:textId="77777777" w:rsidR="000A2A8B" w:rsidRDefault="000A2A8B" w:rsidP="00DD6C85">
          <w:pPr>
            <w:autoSpaceDE w:val="0"/>
            <w:autoSpaceDN w:val="0"/>
            <w:ind w:hanging="480"/>
            <w:rPr>
              <w:rFonts w:eastAsia="Times New Roman"/>
            </w:rPr>
          </w:pPr>
          <w:r w:rsidRPr="000A2A8B">
            <w:rPr>
              <w:rFonts w:eastAsia="Times New Roman"/>
              <w:lang w:val="en-US"/>
            </w:rPr>
            <w:t xml:space="preserve">Reddy, R., Bruhn, M., &amp; Tan, C. (2013). </w:t>
          </w:r>
          <w:r>
            <w:rPr>
              <w:rFonts w:eastAsia="Times New Roman"/>
              <w:i/>
              <w:iCs/>
            </w:rPr>
            <w:t>Capacidades financieras en Colombia: resultados de la encuesta nacional sobre comportamientos, actitudes y conocimientos financieros</w:t>
          </w:r>
          <w:r>
            <w:rPr>
              <w:rFonts w:eastAsia="Times New Roman"/>
            </w:rPr>
            <w:t>. Banco Mundial. https://www.bancomundial.org/content/dam/Worldbank/document/LAC/Capacidades%20Financieras%20en%20Colombia.pdf</w:t>
          </w:r>
        </w:p>
        <w:p w14:paraId="0418B4DC" w14:textId="77777777" w:rsidR="000A2A8B" w:rsidRPr="00506B2A" w:rsidRDefault="000A2A8B" w:rsidP="00DD6C85">
          <w:pPr>
            <w:autoSpaceDE w:val="0"/>
            <w:autoSpaceDN w:val="0"/>
            <w:ind w:hanging="480"/>
            <w:rPr>
              <w:rFonts w:eastAsia="Times New Roman"/>
              <w:lang w:val="en-US"/>
            </w:rPr>
          </w:pPr>
          <w:r w:rsidRPr="00506B2A">
            <w:rPr>
              <w:rFonts w:eastAsia="Times New Roman"/>
              <w:lang w:val="en-US"/>
            </w:rPr>
            <w:t xml:space="preserve">Rink, U., </w:t>
          </w:r>
          <w:proofErr w:type="spellStart"/>
          <w:r w:rsidRPr="00506B2A">
            <w:rPr>
              <w:rFonts w:eastAsia="Times New Roman"/>
              <w:lang w:val="en-US"/>
            </w:rPr>
            <w:t>Walle</w:t>
          </w:r>
          <w:proofErr w:type="spellEnd"/>
          <w:r w:rsidRPr="00506B2A">
            <w:rPr>
              <w:rFonts w:eastAsia="Times New Roman"/>
              <w:lang w:val="en-US"/>
            </w:rPr>
            <w:t xml:space="preserve">, Y. M., &amp; </w:t>
          </w:r>
          <w:proofErr w:type="spellStart"/>
          <w:r w:rsidRPr="00506B2A">
            <w:rPr>
              <w:rFonts w:eastAsia="Times New Roman"/>
              <w:lang w:val="en-US"/>
            </w:rPr>
            <w:t>Klasen</w:t>
          </w:r>
          <w:proofErr w:type="spellEnd"/>
          <w:r w:rsidRPr="00506B2A">
            <w:rPr>
              <w:rFonts w:eastAsia="Times New Roman"/>
              <w:lang w:val="en-US"/>
            </w:rPr>
            <w:t xml:space="preserve">, S. (2021). The financial literacy gender gap and the role of culture. </w:t>
          </w:r>
          <w:r w:rsidRPr="00506B2A">
            <w:rPr>
              <w:rFonts w:eastAsia="Times New Roman"/>
              <w:i/>
              <w:iCs/>
              <w:lang w:val="en-US"/>
            </w:rPr>
            <w:t>The Quarterly Review of Economics and Finance</w:t>
          </w:r>
          <w:r w:rsidRPr="00506B2A">
            <w:rPr>
              <w:rFonts w:eastAsia="Times New Roman"/>
              <w:lang w:val="en-US"/>
            </w:rPr>
            <w:t xml:space="preserve">, </w:t>
          </w:r>
          <w:r w:rsidRPr="00506B2A">
            <w:rPr>
              <w:rFonts w:eastAsia="Times New Roman"/>
              <w:i/>
              <w:iCs/>
              <w:lang w:val="en-US"/>
            </w:rPr>
            <w:t>80</w:t>
          </w:r>
          <w:r w:rsidRPr="00506B2A">
            <w:rPr>
              <w:rFonts w:eastAsia="Times New Roman"/>
              <w:lang w:val="en-US"/>
            </w:rPr>
            <w:t>, 117–134. https://doi.org/10.1016/j.qref.2021.02.006</w:t>
          </w:r>
        </w:p>
        <w:p w14:paraId="42DF1A30" w14:textId="77777777" w:rsidR="000A2A8B" w:rsidRPr="00506B2A" w:rsidRDefault="000A2A8B" w:rsidP="00DD6C85">
          <w:pPr>
            <w:autoSpaceDE w:val="0"/>
            <w:autoSpaceDN w:val="0"/>
            <w:ind w:hanging="480"/>
            <w:rPr>
              <w:rFonts w:eastAsia="Times New Roman"/>
              <w:lang w:val="en-US"/>
            </w:rPr>
          </w:pPr>
          <w:r w:rsidRPr="00506B2A">
            <w:rPr>
              <w:rFonts w:eastAsia="Times New Roman"/>
              <w:lang w:val="en-US"/>
            </w:rPr>
            <w:t xml:space="preserve">Robson, J., &amp; </w:t>
          </w:r>
          <w:proofErr w:type="spellStart"/>
          <w:r w:rsidRPr="00506B2A">
            <w:rPr>
              <w:rFonts w:eastAsia="Times New Roman"/>
              <w:lang w:val="en-US"/>
            </w:rPr>
            <w:t>Peetz</w:t>
          </w:r>
          <w:proofErr w:type="spellEnd"/>
          <w:r w:rsidRPr="00506B2A">
            <w:rPr>
              <w:rFonts w:eastAsia="Times New Roman"/>
              <w:lang w:val="en-US"/>
            </w:rPr>
            <w:t xml:space="preserve">, J. (2020). Gender differences in financial knowledge, attitudes, and behaviors: Accounting for socioeconomic disparities and psychological traits. </w:t>
          </w:r>
          <w:r w:rsidRPr="00506B2A">
            <w:rPr>
              <w:rFonts w:eastAsia="Times New Roman"/>
              <w:i/>
              <w:iCs/>
              <w:lang w:val="en-US"/>
            </w:rPr>
            <w:t>Journal of Consumer Affairs</w:t>
          </w:r>
          <w:r w:rsidRPr="00506B2A">
            <w:rPr>
              <w:rFonts w:eastAsia="Times New Roman"/>
              <w:lang w:val="en-US"/>
            </w:rPr>
            <w:t xml:space="preserve">, </w:t>
          </w:r>
          <w:r w:rsidRPr="00506B2A">
            <w:rPr>
              <w:rFonts w:eastAsia="Times New Roman"/>
              <w:i/>
              <w:iCs/>
              <w:lang w:val="en-US"/>
            </w:rPr>
            <w:t>54</w:t>
          </w:r>
          <w:r w:rsidRPr="00506B2A">
            <w:rPr>
              <w:rFonts w:eastAsia="Times New Roman"/>
              <w:lang w:val="en-US"/>
            </w:rPr>
            <w:t>(3), 813–835. https://doi.org/10.1111/joca.12304</w:t>
          </w:r>
        </w:p>
        <w:p w14:paraId="03FC7B1C" w14:textId="77777777" w:rsidR="000A2A8B" w:rsidRPr="00892BDC" w:rsidRDefault="000A2A8B" w:rsidP="00DD6C85">
          <w:pPr>
            <w:autoSpaceDE w:val="0"/>
            <w:autoSpaceDN w:val="0"/>
            <w:ind w:hanging="480"/>
            <w:rPr>
              <w:rFonts w:eastAsia="Times New Roman"/>
              <w:lang w:val="en-US"/>
            </w:rPr>
          </w:pPr>
          <w:r w:rsidRPr="00506B2A">
            <w:rPr>
              <w:rFonts w:eastAsia="Times New Roman"/>
              <w:lang w:val="en-US"/>
            </w:rPr>
            <w:t xml:space="preserve">Romo, M. (2003). </w:t>
          </w:r>
          <w:r>
            <w:rPr>
              <w:rFonts w:eastAsia="Times New Roman"/>
            </w:rPr>
            <w:t xml:space="preserve">TIPOS DE MUESTREO. </w:t>
          </w:r>
          <w:r>
            <w:rPr>
              <w:rFonts w:eastAsia="Times New Roman"/>
              <w:i/>
              <w:iCs/>
            </w:rPr>
            <w:t xml:space="preserve">Rev. </w:t>
          </w:r>
          <w:proofErr w:type="spellStart"/>
          <w:r>
            <w:rPr>
              <w:rFonts w:eastAsia="Times New Roman"/>
              <w:i/>
              <w:iCs/>
            </w:rPr>
            <w:t>Epidem</w:t>
          </w:r>
          <w:proofErr w:type="spellEnd"/>
          <w:r>
            <w:rPr>
              <w:rFonts w:eastAsia="Times New Roman"/>
              <w:i/>
              <w:iCs/>
            </w:rPr>
            <w:t xml:space="preserve">. </w:t>
          </w:r>
          <w:r w:rsidRPr="00892BDC">
            <w:rPr>
              <w:rFonts w:eastAsia="Times New Roman"/>
              <w:i/>
              <w:iCs/>
              <w:lang w:val="en-US"/>
            </w:rPr>
            <w:t xml:space="preserve">Med. </w:t>
          </w:r>
          <w:proofErr w:type="spellStart"/>
          <w:r w:rsidRPr="00892BDC">
            <w:rPr>
              <w:rFonts w:eastAsia="Times New Roman"/>
              <w:i/>
              <w:iCs/>
              <w:lang w:val="en-US"/>
            </w:rPr>
            <w:t>Prev</w:t>
          </w:r>
          <w:proofErr w:type="spellEnd"/>
          <w:r w:rsidRPr="00892BDC">
            <w:rPr>
              <w:rFonts w:eastAsia="Times New Roman"/>
              <w:lang w:val="en-US"/>
            </w:rPr>
            <w:t xml:space="preserve">, </w:t>
          </w:r>
          <w:r w:rsidRPr="00892BDC">
            <w:rPr>
              <w:rFonts w:eastAsia="Times New Roman"/>
              <w:i/>
              <w:iCs/>
              <w:lang w:val="en-US"/>
            </w:rPr>
            <w:t>1</w:t>
          </w:r>
          <w:r w:rsidRPr="00892BDC">
            <w:rPr>
              <w:rFonts w:eastAsia="Times New Roman"/>
              <w:lang w:val="en-US"/>
            </w:rPr>
            <w:t>, 3–7.</w:t>
          </w:r>
        </w:p>
        <w:p w14:paraId="080B8238" w14:textId="77777777" w:rsidR="000A2A8B" w:rsidRPr="00506B2A" w:rsidRDefault="000A2A8B" w:rsidP="00DD6C85">
          <w:pPr>
            <w:autoSpaceDE w:val="0"/>
            <w:autoSpaceDN w:val="0"/>
            <w:ind w:hanging="480"/>
            <w:rPr>
              <w:rFonts w:eastAsia="Times New Roman"/>
              <w:lang w:val="en-US"/>
            </w:rPr>
          </w:pPr>
          <w:proofErr w:type="spellStart"/>
          <w:r w:rsidRPr="00506B2A">
            <w:rPr>
              <w:rFonts w:eastAsia="Times New Roman"/>
              <w:lang w:val="en-US"/>
            </w:rPr>
            <w:t>Tinghög</w:t>
          </w:r>
          <w:proofErr w:type="spellEnd"/>
          <w:r w:rsidRPr="00506B2A">
            <w:rPr>
              <w:rFonts w:eastAsia="Times New Roman"/>
              <w:lang w:val="en-US"/>
            </w:rPr>
            <w:t xml:space="preserve">, G., Ahmed, A., </w:t>
          </w:r>
          <w:proofErr w:type="spellStart"/>
          <w:r w:rsidRPr="00506B2A">
            <w:rPr>
              <w:rFonts w:eastAsia="Times New Roman"/>
              <w:lang w:val="en-US"/>
            </w:rPr>
            <w:t>Barrafrem</w:t>
          </w:r>
          <w:proofErr w:type="spellEnd"/>
          <w:r w:rsidRPr="00506B2A">
            <w:rPr>
              <w:rFonts w:eastAsia="Times New Roman"/>
              <w:lang w:val="en-US"/>
            </w:rPr>
            <w:t xml:space="preserve">, K., Lind, T., </w:t>
          </w:r>
          <w:proofErr w:type="spellStart"/>
          <w:r w:rsidRPr="00506B2A">
            <w:rPr>
              <w:rFonts w:eastAsia="Times New Roman"/>
              <w:lang w:val="en-US"/>
            </w:rPr>
            <w:t>Skagerlund</w:t>
          </w:r>
          <w:proofErr w:type="spellEnd"/>
          <w:r w:rsidRPr="00506B2A">
            <w:rPr>
              <w:rFonts w:eastAsia="Times New Roman"/>
              <w:lang w:val="en-US"/>
            </w:rPr>
            <w:t xml:space="preserve">, K., &amp; </w:t>
          </w:r>
          <w:proofErr w:type="spellStart"/>
          <w:r w:rsidRPr="00506B2A">
            <w:rPr>
              <w:rFonts w:eastAsia="Times New Roman"/>
              <w:lang w:val="en-US"/>
            </w:rPr>
            <w:t>Västfjäll</w:t>
          </w:r>
          <w:proofErr w:type="spellEnd"/>
          <w:r w:rsidRPr="00506B2A">
            <w:rPr>
              <w:rFonts w:eastAsia="Times New Roman"/>
              <w:lang w:val="en-US"/>
            </w:rPr>
            <w:t xml:space="preserve">, D. (2021). Gender differences in financial literacy: The </w:t>
          </w:r>
          <w:r w:rsidRPr="00506B2A">
            <w:rPr>
              <w:rFonts w:eastAsia="Times New Roman"/>
              <w:lang w:val="en-US"/>
            </w:rPr>
            <w:lastRenderedPageBreak/>
            <w:t xml:space="preserve">role of stereotype threat. </w:t>
          </w:r>
          <w:r w:rsidRPr="00506B2A">
            <w:rPr>
              <w:rFonts w:eastAsia="Times New Roman"/>
              <w:i/>
              <w:iCs/>
              <w:lang w:val="en-US"/>
            </w:rPr>
            <w:t>Journal of Economic Behavior and Organization</w:t>
          </w:r>
          <w:r w:rsidRPr="00506B2A">
            <w:rPr>
              <w:rFonts w:eastAsia="Times New Roman"/>
              <w:lang w:val="en-US"/>
            </w:rPr>
            <w:t xml:space="preserve">, </w:t>
          </w:r>
          <w:r w:rsidRPr="00506B2A">
            <w:rPr>
              <w:rFonts w:eastAsia="Times New Roman"/>
              <w:i/>
              <w:iCs/>
              <w:lang w:val="en-US"/>
            </w:rPr>
            <w:t>192</w:t>
          </w:r>
          <w:r w:rsidRPr="00506B2A">
            <w:rPr>
              <w:rFonts w:eastAsia="Times New Roman"/>
              <w:lang w:val="en-US"/>
            </w:rPr>
            <w:t>, 405–416. https://doi.org/10.1016/j.jebo.2021.10.015</w:t>
          </w:r>
        </w:p>
        <w:p w14:paraId="21335E6E" w14:textId="77777777" w:rsidR="000A2A8B" w:rsidRDefault="000A2A8B" w:rsidP="000A2A8B">
          <w:pPr>
            <w:autoSpaceDE w:val="0"/>
            <w:autoSpaceDN w:val="0"/>
            <w:ind w:hanging="480"/>
            <w:rPr>
              <w:lang w:val="en-US"/>
            </w:rPr>
            <w:sectPr w:rsidR="000A2A8B" w:rsidSect="000A2A8B">
              <w:type w:val="continuous"/>
              <w:pgSz w:w="12240" w:h="15840"/>
              <w:pgMar w:top="1440" w:right="1440" w:bottom="1440" w:left="1440" w:header="708" w:footer="708" w:gutter="0"/>
              <w:cols w:num="2" w:space="708"/>
              <w:docGrid w:linePitch="360"/>
            </w:sectPr>
          </w:pPr>
          <w:r>
            <w:rPr>
              <w:rFonts w:eastAsia="Times New Roman"/>
            </w:rPr>
            <w:t xml:space="preserve">van </w:t>
          </w:r>
          <w:proofErr w:type="spellStart"/>
          <w:r>
            <w:rPr>
              <w:rFonts w:eastAsia="Times New Roman"/>
            </w:rPr>
            <w:t>Rooij</w:t>
          </w:r>
          <w:proofErr w:type="spellEnd"/>
          <w:r>
            <w:rPr>
              <w:rFonts w:eastAsia="Times New Roman"/>
            </w:rPr>
            <w:t xml:space="preserve">, M., Lusardi, A., &amp; </w:t>
          </w:r>
          <w:proofErr w:type="spellStart"/>
          <w:r>
            <w:rPr>
              <w:rFonts w:eastAsia="Times New Roman"/>
            </w:rPr>
            <w:t>Alessie</w:t>
          </w:r>
          <w:proofErr w:type="spellEnd"/>
          <w:r>
            <w:rPr>
              <w:rFonts w:eastAsia="Times New Roman"/>
            </w:rPr>
            <w:t xml:space="preserve">, R. (2011). </w:t>
          </w:r>
          <w:r w:rsidRPr="00506B2A">
            <w:rPr>
              <w:rFonts w:eastAsia="Times New Roman"/>
              <w:lang w:val="en-US"/>
            </w:rPr>
            <w:t xml:space="preserve">Financial literacy and stock market participation. </w:t>
          </w:r>
          <w:r w:rsidRPr="00506B2A">
            <w:rPr>
              <w:rFonts w:eastAsia="Times New Roman"/>
              <w:i/>
              <w:iCs/>
              <w:lang w:val="en-US"/>
            </w:rPr>
            <w:t>Journal of Financial Economics</w:t>
          </w:r>
          <w:r w:rsidRPr="00506B2A">
            <w:rPr>
              <w:rFonts w:eastAsia="Times New Roman"/>
              <w:lang w:val="en-US"/>
            </w:rPr>
            <w:t xml:space="preserve">, </w:t>
          </w:r>
          <w:r w:rsidRPr="00506B2A">
            <w:rPr>
              <w:rFonts w:eastAsia="Times New Roman"/>
              <w:i/>
              <w:iCs/>
              <w:lang w:val="en-US"/>
            </w:rPr>
            <w:t>101</w:t>
          </w:r>
          <w:r w:rsidRPr="00506B2A">
            <w:rPr>
              <w:rFonts w:eastAsia="Times New Roman"/>
              <w:lang w:val="en-US"/>
            </w:rPr>
            <w:t>(2), 449–472. https://doi.org/10.1016/j.jfineco.2011.03.006</w:t>
          </w:r>
        </w:p>
      </w:sdtContent>
    </w:sdt>
    <w:p w14:paraId="3C8F55CB" w14:textId="61DB101B" w:rsidR="000A2A8B" w:rsidRPr="00506B2A" w:rsidRDefault="000A2A8B" w:rsidP="000A2A8B">
      <w:pPr>
        <w:autoSpaceDE w:val="0"/>
        <w:autoSpaceDN w:val="0"/>
        <w:ind w:hanging="480"/>
        <w:rPr>
          <w:rFonts w:eastAsia="Times New Roman"/>
          <w:lang w:val="en-US"/>
        </w:rPr>
      </w:pPr>
    </w:p>
    <w:p w14:paraId="16EB56B1" w14:textId="77777777" w:rsidR="00627A3B" w:rsidRPr="00D377EC" w:rsidRDefault="00627A3B" w:rsidP="00753689">
      <w:pPr>
        <w:ind w:firstLine="0"/>
        <w:rPr>
          <w:rFonts w:ascii="Arial" w:hAnsi="Arial" w:cs="Arial"/>
        </w:rPr>
      </w:pPr>
    </w:p>
    <w:sectPr w:rsidR="00627A3B" w:rsidRPr="00D377EC" w:rsidSect="000D752A">
      <w:type w:val="continuous"/>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08154F"/>
    <w:multiLevelType w:val="multilevel"/>
    <w:tmpl w:val="FE5A587A"/>
    <w:lvl w:ilvl="0">
      <w:start w:val="1"/>
      <w:numFmt w:val="decimal"/>
      <w:lvlText w:val="%1."/>
      <w:lvlJc w:val="left"/>
      <w:pPr>
        <w:ind w:left="360" w:hanging="360"/>
      </w:pPr>
      <w:rPr>
        <w:rFonts w:hint="default"/>
      </w:rPr>
    </w:lvl>
    <w:lvl w:ilvl="1">
      <w:start w:val="1"/>
      <w:numFmt w:val="decimal"/>
      <w:isLgl/>
      <w:lvlText w:val="%1.%2."/>
      <w:lvlJc w:val="left"/>
      <w:pPr>
        <w:ind w:left="1069" w:hanging="720"/>
      </w:pPr>
      <w:rPr>
        <w:rFonts w:hint="default"/>
      </w:rPr>
    </w:lvl>
    <w:lvl w:ilvl="2">
      <w:start w:val="1"/>
      <w:numFmt w:val="decimal"/>
      <w:isLgl/>
      <w:lvlText w:val="%1.%2.%3."/>
      <w:lvlJc w:val="left"/>
      <w:pPr>
        <w:ind w:left="1418" w:hanging="720"/>
      </w:pPr>
      <w:rPr>
        <w:rFonts w:hint="default"/>
      </w:rPr>
    </w:lvl>
    <w:lvl w:ilvl="3">
      <w:start w:val="1"/>
      <w:numFmt w:val="decimal"/>
      <w:isLgl/>
      <w:lvlText w:val="%1.%2.%3.%4."/>
      <w:lvlJc w:val="left"/>
      <w:pPr>
        <w:ind w:left="2127" w:hanging="1080"/>
      </w:pPr>
      <w:rPr>
        <w:rFonts w:hint="default"/>
      </w:rPr>
    </w:lvl>
    <w:lvl w:ilvl="4">
      <w:start w:val="1"/>
      <w:numFmt w:val="decimal"/>
      <w:isLgl/>
      <w:lvlText w:val="%1.%2.%3.%4.%5."/>
      <w:lvlJc w:val="left"/>
      <w:pPr>
        <w:ind w:left="2476" w:hanging="1080"/>
      </w:pPr>
      <w:rPr>
        <w:rFonts w:hint="default"/>
      </w:rPr>
    </w:lvl>
    <w:lvl w:ilvl="5">
      <w:start w:val="1"/>
      <w:numFmt w:val="decimal"/>
      <w:isLgl/>
      <w:lvlText w:val="%1.%2.%3.%4.%5.%6."/>
      <w:lvlJc w:val="left"/>
      <w:pPr>
        <w:ind w:left="3185" w:hanging="1440"/>
      </w:pPr>
      <w:rPr>
        <w:rFonts w:hint="default"/>
      </w:rPr>
    </w:lvl>
    <w:lvl w:ilvl="6">
      <w:start w:val="1"/>
      <w:numFmt w:val="decimal"/>
      <w:isLgl/>
      <w:lvlText w:val="%1.%2.%3.%4.%5.%6.%7."/>
      <w:lvlJc w:val="left"/>
      <w:pPr>
        <w:ind w:left="3534" w:hanging="1440"/>
      </w:pPr>
      <w:rPr>
        <w:rFonts w:hint="default"/>
      </w:rPr>
    </w:lvl>
    <w:lvl w:ilvl="7">
      <w:start w:val="1"/>
      <w:numFmt w:val="decimal"/>
      <w:isLgl/>
      <w:lvlText w:val="%1.%2.%3.%4.%5.%6.%7.%8."/>
      <w:lvlJc w:val="left"/>
      <w:pPr>
        <w:ind w:left="4243" w:hanging="1800"/>
      </w:pPr>
      <w:rPr>
        <w:rFonts w:hint="default"/>
      </w:rPr>
    </w:lvl>
    <w:lvl w:ilvl="8">
      <w:start w:val="1"/>
      <w:numFmt w:val="decimal"/>
      <w:isLgl/>
      <w:lvlText w:val="%1.%2.%3.%4.%5.%6.%7.%8.%9."/>
      <w:lvlJc w:val="left"/>
      <w:pPr>
        <w:ind w:left="4592" w:hanging="1800"/>
      </w:pPr>
      <w:rPr>
        <w:rFonts w:hint="default"/>
      </w:rPr>
    </w:lvl>
  </w:abstractNum>
  <w:abstractNum w:abstractNumId="1" w15:restartNumberingAfterBreak="0">
    <w:nsid w:val="2F951DF5"/>
    <w:multiLevelType w:val="hybridMultilevel"/>
    <w:tmpl w:val="314A5E6C"/>
    <w:lvl w:ilvl="0" w:tplc="4E904DDA">
      <w:start w:val="1"/>
      <w:numFmt w:val="decimal"/>
      <w:lvlText w:val="%1."/>
      <w:lvlJc w:val="left"/>
      <w:pPr>
        <w:ind w:left="1069" w:hanging="360"/>
      </w:pPr>
      <w:rPr>
        <w:rFonts w:hint="default"/>
      </w:r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2" w15:restartNumberingAfterBreak="0">
    <w:nsid w:val="5D1F350B"/>
    <w:multiLevelType w:val="multilevel"/>
    <w:tmpl w:val="E25A3E16"/>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15:restartNumberingAfterBreak="0">
    <w:nsid w:val="617933C3"/>
    <w:multiLevelType w:val="multilevel"/>
    <w:tmpl w:val="9070C1DA"/>
    <w:lvl w:ilvl="0">
      <w:start w:val="1"/>
      <w:numFmt w:val="decimal"/>
      <w:lvlText w:val="%1."/>
      <w:lvlJc w:val="left"/>
      <w:pPr>
        <w:ind w:left="720" w:hanging="360"/>
      </w:pPr>
      <w:rPr>
        <w:rFonts w:ascii="Times New Roman" w:hAnsi="Times New Roman" w:cs="Times New Roman" w:hint="default"/>
        <w:b/>
        <w:color w:val="000000" w:themeColor="text1"/>
        <w:sz w:val="24"/>
      </w:rPr>
    </w:lvl>
    <w:lvl w:ilvl="1">
      <w:start w:val="1"/>
      <w:numFmt w:val="decimal"/>
      <w:isLgl/>
      <w:lvlText w:val="%1.%2."/>
      <w:lvlJc w:val="left"/>
      <w:pPr>
        <w:ind w:left="720" w:hanging="360"/>
      </w:pPr>
      <w:rPr>
        <w:rFonts w:ascii="Times New Roman" w:hAnsi="Times New Roman" w:cs="Times New Roman" w:hint="default"/>
        <w:b/>
        <w:bCs/>
        <w:color w:val="auto"/>
        <w:sz w:val="22"/>
        <w:szCs w:val="22"/>
      </w:rPr>
    </w:lvl>
    <w:lvl w:ilvl="2">
      <w:start w:val="1"/>
      <w:numFmt w:val="decimal"/>
      <w:isLgl/>
      <w:lvlText w:val="%1.%2.%3."/>
      <w:lvlJc w:val="left"/>
      <w:pPr>
        <w:ind w:left="1080" w:hanging="720"/>
      </w:pPr>
      <w:rPr>
        <w:rFonts w:ascii="Times New Roman" w:hAnsi="Times New Roman" w:cs="Times New Roman" w:hint="default"/>
        <w:b/>
        <w:bCs/>
        <w:color w:val="000000" w:themeColor="text1"/>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9727B11"/>
    <w:multiLevelType w:val="multilevel"/>
    <w:tmpl w:val="9070C1DA"/>
    <w:lvl w:ilvl="0">
      <w:start w:val="1"/>
      <w:numFmt w:val="decimal"/>
      <w:lvlText w:val="%1."/>
      <w:lvlJc w:val="left"/>
      <w:pPr>
        <w:ind w:left="720" w:hanging="360"/>
      </w:pPr>
      <w:rPr>
        <w:rFonts w:ascii="Times New Roman" w:hAnsi="Times New Roman" w:cs="Times New Roman" w:hint="default"/>
        <w:b/>
        <w:color w:val="000000" w:themeColor="text1"/>
        <w:sz w:val="24"/>
      </w:rPr>
    </w:lvl>
    <w:lvl w:ilvl="1">
      <w:start w:val="1"/>
      <w:numFmt w:val="decimal"/>
      <w:isLgl/>
      <w:lvlText w:val="%1.%2."/>
      <w:lvlJc w:val="left"/>
      <w:pPr>
        <w:ind w:left="720" w:hanging="360"/>
      </w:pPr>
      <w:rPr>
        <w:rFonts w:ascii="Times New Roman" w:hAnsi="Times New Roman" w:cs="Times New Roman" w:hint="default"/>
        <w:b/>
        <w:bCs/>
        <w:color w:val="auto"/>
        <w:sz w:val="22"/>
        <w:szCs w:val="22"/>
      </w:rPr>
    </w:lvl>
    <w:lvl w:ilvl="2">
      <w:start w:val="1"/>
      <w:numFmt w:val="decimal"/>
      <w:isLgl/>
      <w:lvlText w:val="%1.%2.%3."/>
      <w:lvlJc w:val="left"/>
      <w:pPr>
        <w:ind w:left="1080" w:hanging="720"/>
      </w:pPr>
      <w:rPr>
        <w:rFonts w:ascii="Times New Roman" w:hAnsi="Times New Roman" w:cs="Times New Roman" w:hint="default"/>
        <w:b/>
        <w:bCs/>
        <w:color w:val="000000" w:themeColor="text1"/>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018385655">
    <w:abstractNumId w:val="2"/>
  </w:num>
  <w:num w:numId="2" w16cid:durableId="2138906851">
    <w:abstractNumId w:val="4"/>
  </w:num>
  <w:num w:numId="3" w16cid:durableId="1944261255">
    <w:abstractNumId w:val="3"/>
  </w:num>
  <w:num w:numId="4" w16cid:durableId="1840193194">
    <w:abstractNumId w:val="1"/>
  </w:num>
  <w:num w:numId="5" w16cid:durableId="19611060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026E"/>
    <w:rsid w:val="00040D9C"/>
    <w:rsid w:val="000A2A8B"/>
    <w:rsid w:val="000A34BF"/>
    <w:rsid w:val="000D1680"/>
    <w:rsid w:val="000D752A"/>
    <w:rsid w:val="0018292D"/>
    <w:rsid w:val="0021026E"/>
    <w:rsid w:val="00236D22"/>
    <w:rsid w:val="00627A3B"/>
    <w:rsid w:val="00753689"/>
    <w:rsid w:val="007576ED"/>
    <w:rsid w:val="007C356E"/>
    <w:rsid w:val="008451DF"/>
    <w:rsid w:val="00871E6B"/>
    <w:rsid w:val="00892BDC"/>
    <w:rsid w:val="008B73DF"/>
    <w:rsid w:val="008F788F"/>
    <w:rsid w:val="009035ED"/>
    <w:rsid w:val="00911D91"/>
    <w:rsid w:val="009301CD"/>
    <w:rsid w:val="00936B0C"/>
    <w:rsid w:val="00A2189D"/>
    <w:rsid w:val="00A26B51"/>
    <w:rsid w:val="00A3380C"/>
    <w:rsid w:val="00B75F3B"/>
    <w:rsid w:val="00C52D3E"/>
    <w:rsid w:val="00D05999"/>
    <w:rsid w:val="00D377EC"/>
    <w:rsid w:val="00DD4DC6"/>
    <w:rsid w:val="00DD6C85"/>
    <w:rsid w:val="00E346EF"/>
    <w:rsid w:val="00E51F1F"/>
    <w:rsid w:val="00E9233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64C194"/>
  <w15:chartTrackingRefBased/>
  <w15:docId w15:val="{103656C6-CCA0-4866-A805-7EEC9B861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292D"/>
    <w:pPr>
      <w:spacing w:line="360" w:lineRule="auto"/>
      <w:ind w:firstLine="709"/>
      <w:jc w:val="both"/>
    </w:pPr>
    <w:rPr>
      <w:rFonts w:ascii="Times New Roman" w:hAnsi="Times New Roman" w:cs="Times New Roman"/>
      <w:bCs/>
      <w:sz w:val="24"/>
      <w:szCs w:val="24"/>
    </w:rPr>
  </w:style>
  <w:style w:type="paragraph" w:styleId="Ttulo1">
    <w:name w:val="heading 1"/>
    <w:basedOn w:val="Normal"/>
    <w:next w:val="Normal"/>
    <w:link w:val="Ttulo1Car"/>
    <w:uiPriority w:val="9"/>
    <w:qFormat/>
    <w:rsid w:val="00753689"/>
    <w:pPr>
      <w:keepNext/>
      <w:keepLines/>
      <w:spacing w:before="240" w:after="0"/>
      <w:outlineLvl w:val="0"/>
    </w:pPr>
    <w:rPr>
      <w:rFonts w:asciiTheme="majorHAnsi" w:eastAsiaTheme="majorEastAsia" w:hAnsiTheme="majorHAnsi" w:cstheme="majorBidi"/>
      <w:bCs w:val="0"/>
      <w:color w:val="2F5496" w:themeColor="accent1" w:themeShade="BF"/>
      <w:sz w:val="32"/>
      <w:szCs w:val="32"/>
    </w:rPr>
  </w:style>
  <w:style w:type="paragraph" w:styleId="Ttulo2">
    <w:name w:val="heading 2"/>
    <w:basedOn w:val="Normal"/>
    <w:next w:val="Normal"/>
    <w:link w:val="Ttulo2Car"/>
    <w:uiPriority w:val="9"/>
    <w:unhideWhenUsed/>
    <w:qFormat/>
    <w:rsid w:val="00A3380C"/>
    <w:pPr>
      <w:keepNext/>
      <w:keepLines/>
      <w:spacing w:before="40" w:after="0"/>
      <w:outlineLvl w:val="1"/>
    </w:pPr>
    <w:rPr>
      <w:rFonts w:asciiTheme="majorHAnsi" w:eastAsiaTheme="majorEastAsia" w:hAnsiTheme="majorHAnsi" w:cstheme="majorBidi"/>
      <w:bCs w:val="0"/>
      <w:color w:val="2F5496" w:themeColor="accent1" w:themeShade="BF"/>
      <w:sz w:val="26"/>
      <w:szCs w:val="26"/>
    </w:rPr>
  </w:style>
  <w:style w:type="paragraph" w:styleId="Ttulo3">
    <w:name w:val="heading 3"/>
    <w:basedOn w:val="Normal"/>
    <w:next w:val="Normal"/>
    <w:link w:val="Ttulo3Car"/>
    <w:uiPriority w:val="9"/>
    <w:unhideWhenUsed/>
    <w:qFormat/>
    <w:rsid w:val="00A2189D"/>
    <w:pPr>
      <w:keepNext/>
      <w:keepLines/>
      <w:spacing w:before="40" w:after="0"/>
      <w:outlineLvl w:val="2"/>
    </w:pPr>
    <w:rPr>
      <w:rFonts w:asciiTheme="majorHAnsi" w:eastAsiaTheme="majorEastAsia" w:hAnsiTheme="majorHAnsi" w:cstheme="majorBidi"/>
      <w:bCs w:val="0"/>
      <w:color w:val="1F3763"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D05999"/>
    <w:pPr>
      <w:ind w:left="720"/>
      <w:contextualSpacing/>
    </w:pPr>
  </w:style>
  <w:style w:type="paragraph" w:styleId="Textonotapie">
    <w:name w:val="footnote text"/>
    <w:basedOn w:val="Normal"/>
    <w:link w:val="TextonotapieCar"/>
    <w:uiPriority w:val="99"/>
    <w:unhideWhenUsed/>
    <w:rsid w:val="00D05999"/>
    <w:pPr>
      <w:spacing w:after="0"/>
      <w:ind w:firstLine="720"/>
    </w:pPr>
    <w:rPr>
      <w:rFonts w:eastAsia="Calibri"/>
      <w:sz w:val="20"/>
      <w:szCs w:val="20"/>
      <w:lang w:val="es-419"/>
    </w:rPr>
  </w:style>
  <w:style w:type="character" w:customStyle="1" w:styleId="TextonotapieCar">
    <w:name w:val="Texto nota pie Car"/>
    <w:basedOn w:val="Fuentedeprrafopredeter"/>
    <w:link w:val="Textonotapie"/>
    <w:uiPriority w:val="99"/>
    <w:rsid w:val="00D05999"/>
    <w:rPr>
      <w:rFonts w:ascii="Times New Roman" w:eastAsia="Calibri" w:hAnsi="Times New Roman" w:cs="Times New Roman"/>
      <w:bCs/>
      <w:sz w:val="20"/>
      <w:szCs w:val="20"/>
      <w:lang w:val="es-419"/>
    </w:rPr>
  </w:style>
  <w:style w:type="character" w:styleId="Refdenotaalpie">
    <w:name w:val="footnote reference"/>
    <w:uiPriority w:val="99"/>
    <w:semiHidden/>
    <w:unhideWhenUsed/>
    <w:rsid w:val="00D05999"/>
    <w:rPr>
      <w:vertAlign w:val="superscript"/>
    </w:rPr>
  </w:style>
  <w:style w:type="paragraph" w:styleId="Descripcin">
    <w:name w:val="caption"/>
    <w:basedOn w:val="Normal"/>
    <w:next w:val="Normal"/>
    <w:uiPriority w:val="35"/>
    <w:unhideWhenUsed/>
    <w:qFormat/>
    <w:rsid w:val="008F788F"/>
    <w:pPr>
      <w:spacing w:after="200" w:line="240" w:lineRule="auto"/>
    </w:pPr>
    <w:rPr>
      <w:i/>
      <w:iCs/>
      <w:color w:val="44546A" w:themeColor="text2"/>
      <w:sz w:val="18"/>
      <w:szCs w:val="18"/>
    </w:rPr>
  </w:style>
  <w:style w:type="character" w:customStyle="1" w:styleId="Ttulo1Car">
    <w:name w:val="Título 1 Car"/>
    <w:basedOn w:val="Fuentedeprrafopredeter"/>
    <w:link w:val="Ttulo1"/>
    <w:uiPriority w:val="9"/>
    <w:rsid w:val="00753689"/>
    <w:rPr>
      <w:rFonts w:asciiTheme="majorHAnsi" w:eastAsiaTheme="majorEastAsia" w:hAnsiTheme="majorHAnsi" w:cstheme="majorBidi"/>
      <w:color w:val="2F5496" w:themeColor="accent1" w:themeShade="BF"/>
      <w:sz w:val="32"/>
      <w:szCs w:val="32"/>
    </w:rPr>
  </w:style>
  <w:style w:type="character" w:customStyle="1" w:styleId="Ttulo2Car">
    <w:name w:val="Título 2 Car"/>
    <w:basedOn w:val="Fuentedeprrafopredeter"/>
    <w:link w:val="Ttulo2"/>
    <w:uiPriority w:val="9"/>
    <w:rsid w:val="00A3380C"/>
    <w:rPr>
      <w:rFonts w:asciiTheme="majorHAnsi" w:eastAsiaTheme="majorEastAsia" w:hAnsiTheme="majorHAnsi" w:cstheme="majorBidi"/>
      <w:color w:val="2F5496" w:themeColor="accent1" w:themeShade="BF"/>
      <w:sz w:val="26"/>
      <w:szCs w:val="26"/>
    </w:rPr>
  </w:style>
  <w:style w:type="table" w:customStyle="1" w:styleId="Tabladelista1clara2">
    <w:name w:val="Tabla de lista 1 clara2"/>
    <w:basedOn w:val="Tablanormal"/>
    <w:uiPriority w:val="46"/>
    <w:rsid w:val="00753689"/>
    <w:pPr>
      <w:spacing w:after="0" w:line="240" w:lineRule="auto"/>
      <w:ind w:firstLine="709"/>
      <w:jc w:val="both"/>
    </w:pPr>
    <w:rPr>
      <w:rFonts w:ascii="Calibri" w:eastAsia="Calibri" w:hAnsi="Calibri" w:cs="Times New Roman"/>
      <w:sz w:val="24"/>
      <w:szCs w:val="24"/>
      <w:lang w:eastAsia="es-CO"/>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3Car">
    <w:name w:val="Título 3 Car"/>
    <w:basedOn w:val="Fuentedeprrafopredeter"/>
    <w:link w:val="Ttulo3"/>
    <w:uiPriority w:val="9"/>
    <w:rsid w:val="00A2189D"/>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chart" Target="charts/chart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Laury\Desktop\DOCS%20TESIS\Tratamiento%20de%20datos%20Alf_fin_mujeres\Excel%20conversi&#243;n%20datos%20encuesta%20para%20spss.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8259958071278826E-2"/>
          <c:y val="0"/>
          <c:w val="0.88594444444444442"/>
          <c:h val="0.74044619422572178"/>
        </c:manualLayout>
      </c:layout>
      <c:barChart>
        <c:barDir val="bar"/>
        <c:grouping val="stacked"/>
        <c:varyColors val="0"/>
        <c:ser>
          <c:idx val="0"/>
          <c:order val="0"/>
          <c:tx>
            <c:v>Conocimiento Financiero</c:v>
          </c:tx>
          <c:spPr>
            <a:solidFill>
              <a:srgbClr val="CCCCFF"/>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50" b="1"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s-CO"/>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Hoja5!$A$401</c:f>
              <c:numCache>
                <c:formatCode>0.00</c:formatCode>
                <c:ptCount val="1"/>
                <c:pt idx="0">
                  <c:v>2.3859649122807016</c:v>
                </c:pt>
              </c:numCache>
            </c:numRef>
          </c:val>
          <c:extLst>
            <c:ext xmlns:c16="http://schemas.microsoft.com/office/drawing/2014/chart" uri="{C3380CC4-5D6E-409C-BE32-E72D297353CC}">
              <c16:uniqueId val="{00000000-7C4C-4AA4-9575-86765641EA01}"/>
            </c:ext>
          </c:extLst>
        </c:ser>
        <c:ser>
          <c:idx val="1"/>
          <c:order val="1"/>
          <c:tx>
            <c:v>Comportamiento Financiero</c:v>
          </c:tx>
          <c:spPr>
            <a:solidFill>
              <a:srgbClr val="1CCDCD"/>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50" b="1"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s-CO"/>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Hoja5!$B$401</c:f>
              <c:numCache>
                <c:formatCode>0.00</c:formatCode>
                <c:ptCount val="1"/>
                <c:pt idx="0">
                  <c:v>4.3909774436090228</c:v>
                </c:pt>
              </c:numCache>
            </c:numRef>
          </c:val>
          <c:extLst>
            <c:ext xmlns:c16="http://schemas.microsoft.com/office/drawing/2014/chart" uri="{C3380CC4-5D6E-409C-BE32-E72D297353CC}">
              <c16:uniqueId val="{00000001-7C4C-4AA4-9575-86765641EA01}"/>
            </c:ext>
          </c:extLst>
        </c:ser>
        <c:ser>
          <c:idx val="2"/>
          <c:order val="2"/>
          <c:tx>
            <c:v>Actitud Financiera</c:v>
          </c:tx>
          <c:spPr>
            <a:solidFill>
              <a:srgbClr val="FFC4E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50" b="1"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s-CO"/>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Hoja5!$C$401</c:f>
              <c:numCache>
                <c:formatCode>0.00</c:formatCode>
                <c:ptCount val="1"/>
                <c:pt idx="0">
                  <c:v>3.2756892230576442</c:v>
                </c:pt>
              </c:numCache>
            </c:numRef>
          </c:val>
          <c:extLst>
            <c:ext xmlns:c16="http://schemas.microsoft.com/office/drawing/2014/chart" uri="{C3380CC4-5D6E-409C-BE32-E72D297353CC}">
              <c16:uniqueId val="{00000002-7C4C-4AA4-9575-86765641EA01}"/>
            </c:ext>
          </c:extLst>
        </c:ser>
        <c:dLbls>
          <c:dLblPos val="ctr"/>
          <c:showLegendKey val="0"/>
          <c:showVal val="1"/>
          <c:showCatName val="0"/>
          <c:showSerName val="0"/>
          <c:showPercent val="0"/>
          <c:showBubbleSize val="0"/>
        </c:dLbls>
        <c:gapWidth val="150"/>
        <c:overlap val="100"/>
        <c:axId val="1608653600"/>
        <c:axId val="1608653184"/>
      </c:barChart>
      <c:catAx>
        <c:axId val="1608653600"/>
        <c:scaling>
          <c:orientation val="minMax"/>
        </c:scaling>
        <c:delete val="1"/>
        <c:axPos val="l"/>
        <c:title>
          <c:tx>
            <c:rich>
              <a:bodyPr rot="-54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r>
                  <a:rPr lang="es-CO" sz="800" b="1">
                    <a:solidFill>
                      <a:schemeClr val="tx1"/>
                    </a:solidFill>
                    <a:latin typeface="Times New Roman" panose="02020603050405020304" pitchFamily="18" charset="0"/>
                    <a:cs typeface="Times New Roman" panose="02020603050405020304" pitchFamily="18" charset="0"/>
                  </a:rPr>
                  <a:t>Puntaje</a:t>
                </a:r>
                <a:r>
                  <a:rPr lang="es-CO" sz="800" b="1" baseline="0">
                    <a:solidFill>
                      <a:schemeClr val="tx1"/>
                    </a:solidFill>
                    <a:latin typeface="Times New Roman" panose="02020603050405020304" pitchFamily="18" charset="0"/>
                    <a:cs typeface="Times New Roman" panose="02020603050405020304" pitchFamily="18" charset="0"/>
                  </a:rPr>
                  <a:t> por componente</a:t>
                </a:r>
                <a:endParaRPr lang="es-CO" sz="800" b="1">
                  <a:solidFill>
                    <a:schemeClr val="tx1"/>
                  </a:solidFill>
                  <a:latin typeface="Times New Roman" panose="02020603050405020304" pitchFamily="18" charset="0"/>
                  <a:cs typeface="Times New Roman" panose="02020603050405020304" pitchFamily="18" charset="0"/>
                </a:endParaRPr>
              </a:p>
            </c:rich>
          </c:tx>
          <c:layout>
            <c:manualLayout>
              <c:xMode val="edge"/>
              <c:yMode val="edge"/>
              <c:x val="1.2578616352201259E-2"/>
              <c:y val="9.9512104134191343E-2"/>
            </c:manualLayout>
          </c:layout>
          <c:overlay val="0"/>
          <c:spPr>
            <a:noFill/>
            <a:ln>
              <a:noFill/>
            </a:ln>
            <a:effectLst/>
          </c:spPr>
          <c:txPr>
            <a:bodyPr rot="-54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s-CO"/>
            </a:p>
          </c:txPr>
        </c:title>
        <c:numFmt formatCode="General" sourceLinked="1"/>
        <c:majorTickMark val="none"/>
        <c:minorTickMark val="none"/>
        <c:tickLblPos val="nextTo"/>
        <c:crossAx val="1608653184"/>
        <c:crosses val="autoZero"/>
        <c:auto val="1"/>
        <c:lblAlgn val="ctr"/>
        <c:lblOffset val="100"/>
        <c:noMultiLvlLbl val="0"/>
      </c:catAx>
      <c:valAx>
        <c:axId val="1608653184"/>
        <c:scaling>
          <c:orientation val="minMax"/>
        </c:scaling>
        <c:delete val="0"/>
        <c:axPos val="b"/>
        <c:majorGridlines>
          <c:spPr>
            <a:ln w="9525" cap="flat" cmpd="sng" algn="ctr">
              <a:solidFill>
                <a:schemeClr val="tx1">
                  <a:lumMod val="15000"/>
                  <a:lumOff val="85000"/>
                </a:schemeClr>
              </a:solidFill>
              <a:round/>
            </a:ln>
            <a:effectLst>
              <a:outerShdw blurRad="50800" dist="50800" dir="5400000" algn="ctr" rotWithShape="0">
                <a:schemeClr val="bg1"/>
              </a:outerShdw>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1608653600"/>
        <c:crosses val="autoZero"/>
        <c:crossBetween val="between"/>
      </c:valAx>
      <c:spPr>
        <a:noFill/>
        <a:ln>
          <a:noFill/>
        </a:ln>
        <a:effectLst/>
      </c:spPr>
    </c:plotArea>
    <c:legend>
      <c:legendPos val="b"/>
      <c:layout>
        <c:manualLayout>
          <c:xMode val="edge"/>
          <c:yMode val="edge"/>
          <c:x val="3.6527934008248976E-2"/>
          <c:y val="0.8656951383615118"/>
          <c:w val="0.93696919464014372"/>
          <c:h val="0.12968402988088029"/>
        </c:manualLayout>
      </c:layout>
      <c:overlay val="0"/>
      <c:spPr>
        <a:noFill/>
        <a:ln>
          <a:noFill/>
        </a:ln>
        <a:effectLst/>
      </c:spPr>
      <c:txPr>
        <a:bodyPr rot="0" spcFirstLastPara="1" vertOverflow="ellipsis" vert="horz" wrap="square" anchor="ctr" anchorCtr="1"/>
        <a:lstStyle/>
        <a:p>
          <a:pPr>
            <a:defRPr sz="800" b="1"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s-CO"/>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lgn="just">
        <a:defRPr/>
      </a:pPr>
      <a:endParaRPr lang="es-CO"/>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199D3BC267A4B5E9D53CEFBC12672B2"/>
        <w:category>
          <w:name w:val="General"/>
          <w:gallery w:val="placeholder"/>
        </w:category>
        <w:types>
          <w:type w:val="bbPlcHdr"/>
        </w:types>
        <w:behaviors>
          <w:behavior w:val="content"/>
        </w:behaviors>
        <w:guid w:val="{7C5B2F38-39FC-48C0-9463-E464B0FB9E63}"/>
      </w:docPartPr>
      <w:docPartBody>
        <w:p w:rsidR="002810AE" w:rsidRDefault="009C52AA" w:rsidP="009C52AA">
          <w:pPr>
            <w:pStyle w:val="D199D3BC267A4B5E9D53CEFBC12672B2"/>
          </w:pPr>
          <w:r w:rsidRPr="00206392">
            <w:rPr>
              <w:rStyle w:val="Textodelmarcadordeposicin"/>
            </w:rPr>
            <w:t>Haga clic o pulse aquí para escribir texto.</w:t>
          </w:r>
        </w:p>
      </w:docPartBody>
    </w:docPart>
    <w:docPart>
      <w:docPartPr>
        <w:name w:val="22B15874594B4148A6FF4EFB836275C7"/>
        <w:category>
          <w:name w:val="General"/>
          <w:gallery w:val="placeholder"/>
        </w:category>
        <w:types>
          <w:type w:val="bbPlcHdr"/>
        </w:types>
        <w:behaviors>
          <w:behavior w:val="content"/>
        </w:behaviors>
        <w:guid w:val="{9503B1EB-5285-4EB3-9689-DA14B34E19D4}"/>
      </w:docPartPr>
      <w:docPartBody>
        <w:p w:rsidR="002810AE" w:rsidRDefault="009C52AA" w:rsidP="009C52AA">
          <w:pPr>
            <w:pStyle w:val="22B15874594B4148A6FF4EFB836275C7"/>
          </w:pPr>
          <w:r w:rsidRPr="00206392">
            <w:rPr>
              <w:rStyle w:val="Textodelmarcadordeposicin"/>
            </w:rPr>
            <w:t>Haga clic o pulse aquí para escribir texto.</w:t>
          </w:r>
        </w:p>
      </w:docPartBody>
    </w:docPart>
    <w:docPart>
      <w:docPartPr>
        <w:name w:val="E81A5A4C319840C99131A389C074A705"/>
        <w:category>
          <w:name w:val="General"/>
          <w:gallery w:val="placeholder"/>
        </w:category>
        <w:types>
          <w:type w:val="bbPlcHdr"/>
        </w:types>
        <w:behaviors>
          <w:behavior w:val="content"/>
        </w:behaviors>
        <w:guid w:val="{E6E701A9-F31E-42C8-B2E3-C515B1F09F6B}"/>
      </w:docPartPr>
      <w:docPartBody>
        <w:p w:rsidR="002810AE" w:rsidRDefault="009C52AA" w:rsidP="009C52AA">
          <w:pPr>
            <w:pStyle w:val="E81A5A4C319840C99131A389C074A705"/>
          </w:pPr>
          <w:r w:rsidRPr="00206392">
            <w:rPr>
              <w:rStyle w:val="Textodelmarcadordeposicin"/>
            </w:rPr>
            <w:t>Haga clic o pulse aquí para escribir texto.</w:t>
          </w:r>
        </w:p>
      </w:docPartBody>
    </w:docPart>
    <w:docPart>
      <w:docPartPr>
        <w:name w:val="800658367FE14222B7E64A969432EBA7"/>
        <w:category>
          <w:name w:val="General"/>
          <w:gallery w:val="placeholder"/>
        </w:category>
        <w:types>
          <w:type w:val="bbPlcHdr"/>
        </w:types>
        <w:behaviors>
          <w:behavior w:val="content"/>
        </w:behaviors>
        <w:guid w:val="{7024BAA6-717A-4F5E-8249-F2F2AEB0F537}"/>
      </w:docPartPr>
      <w:docPartBody>
        <w:p w:rsidR="002810AE" w:rsidRDefault="009C52AA" w:rsidP="009C52AA">
          <w:pPr>
            <w:pStyle w:val="800658367FE14222B7E64A969432EBA7"/>
          </w:pPr>
          <w:r w:rsidRPr="00487356">
            <w:rPr>
              <w:rStyle w:val="Textodelmarcadordeposicin"/>
            </w:rPr>
            <w:t>Haga clic o pulse aquí para escribir texto.</w:t>
          </w:r>
        </w:p>
      </w:docPartBody>
    </w:docPart>
    <w:docPart>
      <w:docPartPr>
        <w:name w:val="0FA18B494484460E8321B3C0C76190F8"/>
        <w:category>
          <w:name w:val="General"/>
          <w:gallery w:val="placeholder"/>
        </w:category>
        <w:types>
          <w:type w:val="bbPlcHdr"/>
        </w:types>
        <w:behaviors>
          <w:behavior w:val="content"/>
        </w:behaviors>
        <w:guid w:val="{9C3617A9-C92C-424E-8B2F-85961AE73E40}"/>
      </w:docPartPr>
      <w:docPartBody>
        <w:p w:rsidR="002810AE" w:rsidRDefault="009C52AA" w:rsidP="009C52AA">
          <w:pPr>
            <w:pStyle w:val="0FA18B494484460E8321B3C0C76190F8"/>
          </w:pPr>
          <w:r w:rsidRPr="00487356">
            <w:rPr>
              <w:rStyle w:val="Textodelmarcadordeposicin"/>
            </w:rPr>
            <w:t>Haga clic o pulse aquí para escribir texto.</w:t>
          </w:r>
        </w:p>
      </w:docPartBody>
    </w:docPart>
    <w:docPart>
      <w:docPartPr>
        <w:name w:val="D23CE55716324BFF9BB7EF61CE0C18A7"/>
        <w:category>
          <w:name w:val="General"/>
          <w:gallery w:val="placeholder"/>
        </w:category>
        <w:types>
          <w:type w:val="bbPlcHdr"/>
        </w:types>
        <w:behaviors>
          <w:behavior w:val="content"/>
        </w:behaviors>
        <w:guid w:val="{34AC7B9F-3058-4F8E-9624-A863D0D46581}"/>
      </w:docPartPr>
      <w:docPartBody>
        <w:p w:rsidR="002810AE" w:rsidRDefault="009C52AA" w:rsidP="009C52AA">
          <w:pPr>
            <w:pStyle w:val="D23CE55716324BFF9BB7EF61CE0C18A7"/>
          </w:pPr>
          <w:r w:rsidRPr="00206392">
            <w:rPr>
              <w:rStyle w:val="Textodelmarcadordeposicin"/>
            </w:rPr>
            <w:t>Haga clic o pulse aquí para escribir texto.</w:t>
          </w:r>
        </w:p>
      </w:docPartBody>
    </w:docPart>
    <w:docPart>
      <w:docPartPr>
        <w:name w:val="373EADC8BA374D42BABCA23083727DB8"/>
        <w:category>
          <w:name w:val="General"/>
          <w:gallery w:val="placeholder"/>
        </w:category>
        <w:types>
          <w:type w:val="bbPlcHdr"/>
        </w:types>
        <w:behaviors>
          <w:behavior w:val="content"/>
        </w:behaviors>
        <w:guid w:val="{87B745EB-089E-4C83-BD13-41613987F28C}"/>
      </w:docPartPr>
      <w:docPartBody>
        <w:p w:rsidR="002810AE" w:rsidRDefault="009C52AA" w:rsidP="009C52AA">
          <w:pPr>
            <w:pStyle w:val="373EADC8BA374D42BABCA23083727DB8"/>
          </w:pPr>
          <w:r w:rsidRPr="00206392">
            <w:rPr>
              <w:rStyle w:val="Textodelmarcadordeposicin"/>
            </w:rPr>
            <w:t>Haga clic o pulse aquí para escribir texto.</w:t>
          </w:r>
        </w:p>
      </w:docPartBody>
    </w:docPart>
    <w:docPart>
      <w:docPartPr>
        <w:name w:val="983E28D104E7405C8BC94B5C7553A0A6"/>
        <w:category>
          <w:name w:val="General"/>
          <w:gallery w:val="placeholder"/>
        </w:category>
        <w:types>
          <w:type w:val="bbPlcHdr"/>
        </w:types>
        <w:behaviors>
          <w:behavior w:val="content"/>
        </w:behaviors>
        <w:guid w:val="{4625BFED-812E-4AEE-8519-6F14FD195DFF}"/>
      </w:docPartPr>
      <w:docPartBody>
        <w:p w:rsidR="002810AE" w:rsidRDefault="009C52AA" w:rsidP="009C52AA">
          <w:pPr>
            <w:pStyle w:val="983E28D104E7405C8BC94B5C7553A0A6"/>
          </w:pPr>
          <w:r w:rsidRPr="00206392">
            <w:rPr>
              <w:rStyle w:val="Textodelmarcadordeposicin"/>
            </w:rPr>
            <w:t>Haga clic o pulse aquí para escribir texto.</w:t>
          </w:r>
        </w:p>
      </w:docPartBody>
    </w:docPart>
    <w:docPart>
      <w:docPartPr>
        <w:name w:val="071DDBCA74724CFD9A164E660F8EFEF0"/>
        <w:category>
          <w:name w:val="General"/>
          <w:gallery w:val="placeholder"/>
        </w:category>
        <w:types>
          <w:type w:val="bbPlcHdr"/>
        </w:types>
        <w:behaviors>
          <w:behavior w:val="content"/>
        </w:behaviors>
        <w:guid w:val="{785E7A6A-192C-401A-BF06-A43D5F8BB63D}"/>
      </w:docPartPr>
      <w:docPartBody>
        <w:p w:rsidR="002810AE" w:rsidRDefault="009C52AA" w:rsidP="009C52AA">
          <w:pPr>
            <w:pStyle w:val="071DDBCA74724CFD9A164E660F8EFEF0"/>
          </w:pPr>
          <w:r w:rsidRPr="00206392">
            <w:rPr>
              <w:rStyle w:val="Textodelmarcadordeposicin"/>
            </w:rPr>
            <w:t>Haga clic o pulse aquí para escribir texto.</w:t>
          </w:r>
        </w:p>
      </w:docPartBody>
    </w:docPart>
    <w:docPart>
      <w:docPartPr>
        <w:name w:val="49C2BB83E3754C3DA41CE7EFDEF2A2CE"/>
        <w:category>
          <w:name w:val="General"/>
          <w:gallery w:val="placeholder"/>
        </w:category>
        <w:types>
          <w:type w:val="bbPlcHdr"/>
        </w:types>
        <w:behaviors>
          <w:behavior w:val="content"/>
        </w:behaviors>
        <w:guid w:val="{B18A2D02-8D94-4E9C-BBBF-9725D2D7A70B}"/>
      </w:docPartPr>
      <w:docPartBody>
        <w:p w:rsidR="002810AE" w:rsidRDefault="009C52AA" w:rsidP="009C52AA">
          <w:pPr>
            <w:pStyle w:val="49C2BB83E3754C3DA41CE7EFDEF2A2CE"/>
          </w:pPr>
          <w:r w:rsidRPr="00206392">
            <w:rPr>
              <w:rStyle w:val="Textodelmarcadordeposicin"/>
            </w:rPr>
            <w:t>Haga clic o pulse aquí para escribir texto.</w:t>
          </w:r>
        </w:p>
      </w:docPartBody>
    </w:docPart>
    <w:docPart>
      <w:docPartPr>
        <w:name w:val="92A2E29FE184476A8B132A1988CC0AFD"/>
        <w:category>
          <w:name w:val="General"/>
          <w:gallery w:val="placeholder"/>
        </w:category>
        <w:types>
          <w:type w:val="bbPlcHdr"/>
        </w:types>
        <w:behaviors>
          <w:behavior w:val="content"/>
        </w:behaviors>
        <w:guid w:val="{412BCF18-DE6F-40D4-A10F-9D594FCB2874}"/>
      </w:docPartPr>
      <w:docPartBody>
        <w:p w:rsidR="002810AE" w:rsidRDefault="009C52AA" w:rsidP="009C52AA">
          <w:pPr>
            <w:pStyle w:val="92A2E29FE184476A8B132A1988CC0AFD"/>
          </w:pPr>
          <w:r w:rsidRPr="00206392">
            <w:rPr>
              <w:rStyle w:val="Textodelmarcadordeposicin"/>
            </w:rPr>
            <w:t>Haga clic o pulse aquí para escribir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2AA"/>
    <w:rsid w:val="001B084D"/>
    <w:rsid w:val="002810AE"/>
    <w:rsid w:val="009C52AA"/>
    <w:rsid w:val="00EE726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9C52AA"/>
    <w:rPr>
      <w:color w:val="808080"/>
    </w:rPr>
  </w:style>
  <w:style w:type="paragraph" w:customStyle="1" w:styleId="D199D3BC267A4B5E9D53CEFBC12672B2">
    <w:name w:val="D199D3BC267A4B5E9D53CEFBC12672B2"/>
    <w:rsid w:val="009C52AA"/>
  </w:style>
  <w:style w:type="paragraph" w:customStyle="1" w:styleId="22B15874594B4148A6FF4EFB836275C7">
    <w:name w:val="22B15874594B4148A6FF4EFB836275C7"/>
    <w:rsid w:val="009C52AA"/>
  </w:style>
  <w:style w:type="paragraph" w:customStyle="1" w:styleId="E81A5A4C319840C99131A389C074A705">
    <w:name w:val="E81A5A4C319840C99131A389C074A705"/>
    <w:rsid w:val="009C52AA"/>
  </w:style>
  <w:style w:type="paragraph" w:customStyle="1" w:styleId="800658367FE14222B7E64A969432EBA7">
    <w:name w:val="800658367FE14222B7E64A969432EBA7"/>
    <w:rsid w:val="009C52AA"/>
  </w:style>
  <w:style w:type="paragraph" w:customStyle="1" w:styleId="0FA18B494484460E8321B3C0C76190F8">
    <w:name w:val="0FA18B494484460E8321B3C0C76190F8"/>
    <w:rsid w:val="009C52AA"/>
  </w:style>
  <w:style w:type="paragraph" w:customStyle="1" w:styleId="D23CE55716324BFF9BB7EF61CE0C18A7">
    <w:name w:val="D23CE55716324BFF9BB7EF61CE0C18A7"/>
    <w:rsid w:val="009C52AA"/>
  </w:style>
  <w:style w:type="paragraph" w:customStyle="1" w:styleId="373EADC8BA374D42BABCA23083727DB8">
    <w:name w:val="373EADC8BA374D42BABCA23083727DB8"/>
    <w:rsid w:val="009C52AA"/>
  </w:style>
  <w:style w:type="paragraph" w:customStyle="1" w:styleId="983E28D104E7405C8BC94B5C7553A0A6">
    <w:name w:val="983E28D104E7405C8BC94B5C7553A0A6"/>
    <w:rsid w:val="009C52AA"/>
  </w:style>
  <w:style w:type="paragraph" w:customStyle="1" w:styleId="071DDBCA74724CFD9A164E660F8EFEF0">
    <w:name w:val="071DDBCA74724CFD9A164E660F8EFEF0"/>
    <w:rsid w:val="009C52AA"/>
  </w:style>
  <w:style w:type="paragraph" w:customStyle="1" w:styleId="49C2BB83E3754C3DA41CE7EFDEF2A2CE">
    <w:name w:val="49C2BB83E3754C3DA41CE7EFDEF2A2CE"/>
    <w:rsid w:val="009C52AA"/>
  </w:style>
  <w:style w:type="paragraph" w:customStyle="1" w:styleId="92A2E29FE184476A8B132A1988CC0AFD">
    <w:name w:val="92A2E29FE184476A8B132A1988CC0AFD"/>
    <w:rsid w:val="009C52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76F4A1-D54A-40E5-9A28-6D969D8BB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23</Pages>
  <Words>6626</Words>
  <Characters>36443</Characters>
  <Application>Microsoft Office Word</Application>
  <DocSecurity>0</DocSecurity>
  <Lines>303</Lines>
  <Paragraphs>85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LAURY VILLAMIZAR</dc:creator>
  <cp:keywords/>
  <dc:description/>
  <cp:lastModifiedBy>LAURY VILLAMIZAR</cp:lastModifiedBy>
  <cp:revision>4</cp:revision>
  <dcterms:created xsi:type="dcterms:W3CDTF">2022-09-18T21:34:00Z</dcterms:created>
  <dcterms:modified xsi:type="dcterms:W3CDTF">2022-09-19T00:29:00Z</dcterms:modified>
</cp:coreProperties>
</file>